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32" w:rsidRPr="00940432" w:rsidRDefault="00940432" w:rsidP="00940432">
      <w:pPr>
        <w:rPr>
          <w:b/>
          <w:bCs/>
          <w:sz w:val="44"/>
          <w:szCs w:val="44"/>
        </w:rPr>
      </w:pPr>
      <w:r w:rsidRPr="00940432">
        <w:rPr>
          <w:b/>
          <w:bCs/>
          <w:sz w:val="44"/>
          <w:szCs w:val="44"/>
        </w:rPr>
        <w:t>Helpful Resources</w:t>
      </w:r>
    </w:p>
    <w:p w:rsidR="00940432" w:rsidRDefault="00940432" w:rsidP="00940432">
      <w:pPr>
        <w:rPr>
          <w:b/>
          <w:bCs/>
          <w:sz w:val="24"/>
          <w:szCs w:val="24"/>
        </w:rPr>
      </w:pPr>
    </w:p>
    <w:p w:rsidR="00940432" w:rsidRPr="00940432" w:rsidRDefault="00940432" w:rsidP="00940432">
      <w:pPr>
        <w:rPr>
          <w:b/>
          <w:bCs/>
          <w:sz w:val="32"/>
          <w:szCs w:val="32"/>
        </w:rPr>
      </w:pPr>
      <w:r w:rsidRPr="00940432">
        <w:rPr>
          <w:b/>
          <w:bCs/>
          <w:sz w:val="32"/>
          <w:szCs w:val="32"/>
        </w:rPr>
        <w:t>Handouts</w:t>
      </w:r>
    </w:p>
    <w:p w:rsidR="00940432" w:rsidRPr="00940432" w:rsidRDefault="00940432" w:rsidP="00940432">
      <w:pPr>
        <w:pStyle w:val="ListParagraph"/>
        <w:numPr>
          <w:ilvl w:val="0"/>
          <w:numId w:val="1"/>
        </w:numPr>
        <w:rPr>
          <w:bCs/>
          <w:color w:val="1F497D"/>
          <w:sz w:val="24"/>
          <w:szCs w:val="24"/>
        </w:rPr>
      </w:pPr>
      <w:r w:rsidRPr="00940432">
        <w:rPr>
          <w:bCs/>
          <w:sz w:val="24"/>
          <w:szCs w:val="24"/>
        </w:rPr>
        <w:t>In Your Community: Health Information for Individuals and Families</w:t>
      </w:r>
      <w:r w:rsidRPr="00940432">
        <w:rPr>
          <w:bCs/>
          <w:color w:val="1F497D"/>
          <w:sz w:val="24"/>
          <w:szCs w:val="24"/>
        </w:rPr>
        <w:t xml:space="preserve"> </w:t>
      </w:r>
      <w:hyperlink r:id="rId5" w:history="1">
        <w:r w:rsidRPr="00940432">
          <w:rPr>
            <w:rStyle w:val="Hyperlink"/>
            <w:bCs/>
            <w:sz w:val="24"/>
            <w:szCs w:val="24"/>
          </w:rPr>
          <w:t>http://minorityhealth.hhs.gov/npa/files/Plans/Toolkit/NPA_Toolkit.pdf</w:t>
        </w:r>
      </w:hyperlink>
      <w:r w:rsidRPr="00940432">
        <w:rPr>
          <w:sz w:val="24"/>
          <w:szCs w:val="24"/>
        </w:rPr>
        <w:br/>
      </w:r>
      <w:r w:rsidRPr="00940432">
        <w:rPr>
          <w:bCs/>
          <w:color w:val="1F497D"/>
          <w:sz w:val="24"/>
          <w:szCs w:val="24"/>
        </w:rPr>
        <w:t>Page 20: Health Information for Individuals and Families ( 1 double sided handout)</w:t>
      </w:r>
    </w:p>
    <w:p w:rsidR="00940432" w:rsidRPr="00940432" w:rsidRDefault="00940432" w:rsidP="00940432">
      <w:pPr>
        <w:pStyle w:val="ListParagraph"/>
        <w:numPr>
          <w:ilvl w:val="0"/>
          <w:numId w:val="1"/>
        </w:numPr>
        <w:rPr>
          <w:bCs/>
          <w:sz w:val="24"/>
          <w:szCs w:val="24"/>
        </w:rPr>
      </w:pPr>
      <w:r w:rsidRPr="00940432">
        <w:rPr>
          <w:bCs/>
          <w:sz w:val="24"/>
          <w:szCs w:val="24"/>
        </w:rPr>
        <w:t>Poster: Health Information for the 90% ( Health Literacy)  (Poster)</w:t>
      </w:r>
      <w:r w:rsidRPr="00940432">
        <w:rPr>
          <w:bCs/>
          <w:sz w:val="24"/>
          <w:szCs w:val="24"/>
        </w:rPr>
        <w:br/>
      </w:r>
      <w:hyperlink r:id="rId6" w:history="1">
        <w:r w:rsidRPr="00940432">
          <w:rPr>
            <w:rStyle w:val="Hyperlink"/>
            <w:sz w:val="24"/>
            <w:szCs w:val="24"/>
          </w:rPr>
          <w:t>http://communicatehealth.com/wp-content/uploads/2012/05/HealthLitInfographic-11x171.pdf</w:t>
        </w:r>
      </w:hyperlink>
    </w:p>
    <w:p w:rsidR="00940432" w:rsidRPr="00940432" w:rsidRDefault="00940432" w:rsidP="00940432">
      <w:pPr>
        <w:pStyle w:val="ListParagraph"/>
        <w:numPr>
          <w:ilvl w:val="0"/>
          <w:numId w:val="1"/>
        </w:numPr>
        <w:shd w:val="clear" w:color="auto" w:fill="FFFFFF"/>
        <w:spacing w:before="100" w:beforeAutospacing="1" w:after="100" w:afterAutospacing="1" w:line="300" w:lineRule="atLeast"/>
        <w:rPr>
          <w:bCs/>
          <w:sz w:val="24"/>
          <w:szCs w:val="24"/>
        </w:rPr>
      </w:pPr>
      <w:r w:rsidRPr="00940432">
        <w:rPr>
          <w:bCs/>
          <w:sz w:val="24"/>
          <w:szCs w:val="24"/>
        </w:rPr>
        <w:t xml:space="preserve">MedlinePlus Guide to Healthy Web Surfing </w:t>
      </w:r>
      <w:hyperlink r:id="rId7" w:history="1">
        <w:r w:rsidRPr="00940432">
          <w:rPr>
            <w:rStyle w:val="Hyperlink"/>
            <w:bCs/>
            <w:sz w:val="24"/>
            <w:szCs w:val="24"/>
          </w:rPr>
          <w:t>http://www.nlm.nih.gov/medlineplus/healthywebsurfing.html</w:t>
        </w:r>
      </w:hyperlink>
      <w:r w:rsidRPr="00940432">
        <w:rPr>
          <w:bCs/>
          <w:sz w:val="24"/>
          <w:szCs w:val="24"/>
        </w:rPr>
        <w:t xml:space="preserve"> </w:t>
      </w:r>
    </w:p>
    <w:p w:rsidR="00940432" w:rsidRPr="00940432" w:rsidRDefault="00940432" w:rsidP="00940432">
      <w:pPr>
        <w:pStyle w:val="ListParagraph"/>
        <w:numPr>
          <w:ilvl w:val="0"/>
          <w:numId w:val="1"/>
        </w:numPr>
        <w:shd w:val="clear" w:color="auto" w:fill="FFFFFF"/>
        <w:spacing w:before="100" w:beforeAutospacing="1" w:after="100" w:afterAutospacing="1" w:line="300" w:lineRule="atLeast"/>
        <w:rPr>
          <w:bCs/>
          <w:sz w:val="24"/>
          <w:szCs w:val="24"/>
        </w:rPr>
      </w:pPr>
      <w:r w:rsidRPr="00940432">
        <w:rPr>
          <w:bCs/>
          <w:sz w:val="24"/>
          <w:szCs w:val="24"/>
        </w:rPr>
        <w:t xml:space="preserve">!0 Elements of Competence for Using Teach-back </w:t>
      </w:r>
      <w:proofErr w:type="gramStart"/>
      <w:r w:rsidRPr="00940432">
        <w:rPr>
          <w:bCs/>
          <w:sz w:val="24"/>
          <w:szCs w:val="24"/>
        </w:rPr>
        <w:t>Effectively  (</w:t>
      </w:r>
      <w:proofErr w:type="gramEnd"/>
      <w:r w:rsidRPr="00940432">
        <w:rPr>
          <w:bCs/>
          <w:sz w:val="24"/>
          <w:szCs w:val="24"/>
        </w:rPr>
        <w:t>Handout)</w:t>
      </w:r>
      <w:r w:rsidRPr="00940432">
        <w:rPr>
          <w:bCs/>
          <w:sz w:val="24"/>
          <w:szCs w:val="24"/>
        </w:rPr>
        <w:br/>
      </w:r>
      <w:hyperlink r:id="rId8" w:tgtFrame="_blank" w:tooltip="10 Elements of Competence For Using Teach-back" w:history="1">
        <w:r w:rsidRPr="00940432">
          <w:rPr>
            <w:rStyle w:val="Hyperlink"/>
            <w:rFonts w:cs="Arial"/>
            <w:sz w:val="24"/>
            <w:szCs w:val="24"/>
          </w:rPr>
          <w:t>10 Elements of Competence for Using Teach-back Effectively (PDF).</w:t>
        </w:r>
      </w:hyperlink>
    </w:p>
    <w:p w:rsidR="00940432" w:rsidRPr="00940432" w:rsidRDefault="00940432" w:rsidP="00940432">
      <w:pPr>
        <w:pStyle w:val="h3fp"/>
        <w:numPr>
          <w:ilvl w:val="0"/>
          <w:numId w:val="1"/>
        </w:numPr>
        <w:rPr>
          <w:rFonts w:asciiTheme="minorHAnsi" w:hAnsiTheme="minorHAnsi"/>
        </w:rPr>
      </w:pPr>
      <w:r w:rsidRPr="00940432">
        <w:rPr>
          <w:rFonts w:asciiTheme="minorHAnsi" w:hAnsiTheme="minorHAnsi"/>
          <w:bCs/>
          <w:iCs/>
        </w:rPr>
        <w:t>Helping Older Adults Search for Health Information Online</w:t>
      </w:r>
      <w:r w:rsidRPr="00940432">
        <w:rPr>
          <w:rFonts w:asciiTheme="minorHAnsi" w:hAnsiTheme="minorHAnsi"/>
        </w:rPr>
        <w:t xml:space="preserve">: </w:t>
      </w:r>
      <w:r w:rsidRPr="00940432">
        <w:rPr>
          <w:rFonts w:asciiTheme="minorHAnsi" w:hAnsiTheme="minorHAnsi"/>
          <w:bCs/>
        </w:rPr>
        <w:t>A Toolkit for Trainers</w:t>
      </w:r>
      <w:r w:rsidRPr="00940432">
        <w:rPr>
          <w:rFonts w:asciiTheme="minorHAnsi" w:hAnsiTheme="minorHAnsi"/>
          <w:bCs/>
        </w:rPr>
        <w:br/>
      </w:r>
      <w:hyperlink r:id="rId9" w:history="1">
        <w:r w:rsidRPr="00940432">
          <w:rPr>
            <w:rStyle w:val="Hyperlink"/>
            <w:rFonts w:asciiTheme="minorHAnsi" w:hAnsiTheme="minorHAnsi"/>
          </w:rPr>
          <w:t>http://nihseniorhealth.gov/toolkit/toolkitfiles/pdf/FAQs.pdf</w:t>
        </w:r>
      </w:hyperlink>
      <w:r w:rsidRPr="00940432">
        <w:rPr>
          <w:rFonts w:asciiTheme="minorHAnsi" w:hAnsiTheme="minorHAnsi"/>
        </w:rPr>
        <w:t xml:space="preserve"> ( handout)</w:t>
      </w:r>
    </w:p>
    <w:p w:rsidR="00940432" w:rsidRPr="00940432" w:rsidRDefault="00940432" w:rsidP="00940432">
      <w:pPr>
        <w:rPr>
          <w:b/>
          <w:bCs/>
          <w:i/>
          <w:sz w:val="32"/>
          <w:szCs w:val="32"/>
          <w:u w:val="single"/>
        </w:rPr>
      </w:pPr>
      <w:r w:rsidRPr="00940432">
        <w:rPr>
          <w:b/>
          <w:bCs/>
          <w:i/>
          <w:sz w:val="32"/>
          <w:szCs w:val="32"/>
          <w:u w:val="single"/>
        </w:rPr>
        <w:t>Health Literacy Educational opportunities: Train the Trainer and Program Planning</w:t>
      </w:r>
    </w:p>
    <w:p w:rsidR="00940432" w:rsidRPr="00940432" w:rsidRDefault="00940432" w:rsidP="00940432">
      <w:pPr>
        <w:pStyle w:val="ListParagraph"/>
        <w:numPr>
          <w:ilvl w:val="0"/>
          <w:numId w:val="3"/>
        </w:numPr>
        <w:rPr>
          <w:rFonts w:ascii="Calibri" w:hAnsi="Calibri"/>
          <w:color w:val="1F497D"/>
          <w:sz w:val="24"/>
          <w:szCs w:val="24"/>
        </w:rPr>
      </w:pPr>
      <w:r w:rsidRPr="00940432">
        <w:rPr>
          <w:rFonts w:ascii="Calibri" w:hAnsi="Calibri"/>
          <w:color w:val="1F497D"/>
          <w:sz w:val="24"/>
          <w:szCs w:val="24"/>
        </w:rPr>
        <w:t xml:space="preserve">Welcome to the Toolkit for Trainers, a resource developed by the National Institute on Aging. Use these free, easy-to-use training materials to help older adults find reliable, up-to-date online health information on their own. The training features three websites from the National Institutes of Health — </w:t>
      </w:r>
      <w:hyperlink r:id="rId10" w:history="1">
        <w:r w:rsidRPr="00940432">
          <w:rPr>
            <w:rStyle w:val="Hyperlink"/>
            <w:rFonts w:ascii="Calibri" w:hAnsi="Calibri"/>
            <w:sz w:val="24"/>
            <w:szCs w:val="24"/>
          </w:rPr>
          <w:t>NIHSeniorHealth.gov</w:t>
        </w:r>
      </w:hyperlink>
      <w:r w:rsidRPr="00940432">
        <w:rPr>
          <w:rFonts w:ascii="Calibri" w:hAnsi="Calibri"/>
          <w:color w:val="1F497D"/>
          <w:sz w:val="24"/>
          <w:szCs w:val="24"/>
        </w:rPr>
        <w:t xml:space="preserve">, </w:t>
      </w:r>
      <w:hyperlink r:id="rId11" w:history="1">
        <w:r w:rsidRPr="00940432">
          <w:rPr>
            <w:rStyle w:val="Hyperlink"/>
            <w:rFonts w:ascii="Calibri" w:hAnsi="Calibri"/>
            <w:sz w:val="24"/>
            <w:szCs w:val="24"/>
          </w:rPr>
          <w:t>MedlinePlus.gov</w:t>
        </w:r>
      </w:hyperlink>
      <w:r w:rsidRPr="00940432">
        <w:rPr>
          <w:rFonts w:ascii="Calibri" w:hAnsi="Calibri"/>
          <w:color w:val="1F497D"/>
          <w:sz w:val="24"/>
          <w:szCs w:val="24"/>
        </w:rPr>
        <w:t xml:space="preserve"> and </w:t>
      </w:r>
      <w:hyperlink r:id="rId12" w:history="1">
        <w:r w:rsidRPr="00940432">
          <w:rPr>
            <w:rStyle w:val="Hyperlink"/>
            <w:rFonts w:ascii="Calibri" w:hAnsi="Calibri"/>
            <w:sz w:val="24"/>
            <w:szCs w:val="24"/>
          </w:rPr>
          <w:t>Go4Life®</w:t>
        </w:r>
      </w:hyperlink>
      <w:r w:rsidRPr="00940432">
        <w:rPr>
          <w:rFonts w:ascii="Calibri" w:hAnsi="Calibri"/>
          <w:color w:val="1F497D"/>
          <w:sz w:val="24"/>
          <w:szCs w:val="24"/>
        </w:rPr>
        <w:t>. Trainers can use the toolkit with beginning and intermediate students of the Web.</w:t>
      </w:r>
    </w:p>
    <w:p w:rsidR="00940432" w:rsidRPr="00940432" w:rsidRDefault="00940432" w:rsidP="00940432">
      <w:pPr>
        <w:pStyle w:val="ListParagraph"/>
        <w:numPr>
          <w:ilvl w:val="0"/>
          <w:numId w:val="3"/>
        </w:numPr>
        <w:rPr>
          <w:rFonts w:ascii="Calibri" w:hAnsi="Calibri"/>
          <w:color w:val="1F497D"/>
          <w:sz w:val="24"/>
          <w:szCs w:val="24"/>
        </w:rPr>
      </w:pPr>
      <w:r w:rsidRPr="00940432">
        <w:rPr>
          <w:rFonts w:ascii="Calibri" w:hAnsi="Calibri"/>
          <w:color w:val="1F497D"/>
          <w:sz w:val="24"/>
          <w:szCs w:val="24"/>
        </w:rPr>
        <w:t xml:space="preserve">Helping Older Adults Search for Health Information Online: A Toolkit for Trainers </w:t>
      </w:r>
      <w:hyperlink r:id="rId13" w:history="1">
        <w:r w:rsidRPr="00940432">
          <w:rPr>
            <w:rStyle w:val="Hyperlink"/>
            <w:rFonts w:ascii="Calibri" w:hAnsi="Calibri"/>
            <w:sz w:val="24"/>
            <w:szCs w:val="24"/>
          </w:rPr>
          <w:t>http://nihseniorhealth.gov/toolkit/toolkit.html</w:t>
        </w:r>
      </w:hyperlink>
      <w:r w:rsidRPr="00940432">
        <w:rPr>
          <w:rFonts w:ascii="Calibri" w:hAnsi="Calibri"/>
          <w:color w:val="1F497D"/>
          <w:sz w:val="24"/>
          <w:szCs w:val="24"/>
        </w:rPr>
        <w:t xml:space="preserve">  (with printed handout)</w:t>
      </w:r>
    </w:p>
    <w:p w:rsidR="00940432" w:rsidRPr="00940432" w:rsidRDefault="00940432" w:rsidP="00940432">
      <w:pPr>
        <w:pStyle w:val="ListParagraph"/>
        <w:numPr>
          <w:ilvl w:val="0"/>
          <w:numId w:val="3"/>
        </w:numPr>
        <w:rPr>
          <w:sz w:val="24"/>
          <w:szCs w:val="24"/>
        </w:rPr>
      </w:pPr>
      <w:r w:rsidRPr="00940432">
        <w:rPr>
          <w:rFonts w:ascii="Calibri" w:hAnsi="Calibri"/>
          <w:color w:val="1F497D"/>
          <w:sz w:val="24"/>
          <w:szCs w:val="24"/>
        </w:rPr>
        <w:t xml:space="preserve">Help older adults make the most of their medical appointments with the Talking </w:t>
      </w:r>
      <w:proofErr w:type="gramStart"/>
      <w:r w:rsidRPr="00940432">
        <w:rPr>
          <w:rFonts w:ascii="Calibri" w:hAnsi="Calibri"/>
          <w:color w:val="1F497D"/>
          <w:sz w:val="24"/>
          <w:szCs w:val="24"/>
        </w:rPr>
        <w:t>With</w:t>
      </w:r>
      <w:proofErr w:type="gramEnd"/>
      <w:r w:rsidRPr="00940432">
        <w:rPr>
          <w:rFonts w:ascii="Calibri" w:hAnsi="Calibri"/>
          <w:color w:val="1F497D"/>
          <w:sz w:val="24"/>
          <w:szCs w:val="24"/>
        </w:rPr>
        <w:t xml:space="preserve"> Your Doctor Presentation Toolkit (based on NIA’s popular booklet </w:t>
      </w:r>
      <w:r w:rsidRPr="00940432">
        <w:rPr>
          <w:rFonts w:ascii="Calibri" w:hAnsi="Calibri"/>
          <w:i/>
          <w:iCs/>
          <w:color w:val="1F497D"/>
          <w:sz w:val="24"/>
          <w:szCs w:val="24"/>
        </w:rPr>
        <w:t>Talking With Your Doctor: A Guide for Older People). </w:t>
      </w:r>
      <w:r w:rsidRPr="00940432">
        <w:rPr>
          <w:rFonts w:ascii="Calibri" w:hAnsi="Calibri"/>
          <w:color w:val="1F497D"/>
          <w:sz w:val="24"/>
          <w:szCs w:val="24"/>
        </w:rPr>
        <w:t>It’s easy to use—</w:t>
      </w:r>
      <w:r w:rsidRPr="00940432">
        <w:rPr>
          <w:rFonts w:ascii="Calibri" w:hAnsi="Calibri"/>
          <w:b/>
          <w:bCs/>
          <w:color w:val="1F497D"/>
          <w:sz w:val="24"/>
          <w:szCs w:val="24"/>
        </w:rPr>
        <w:t xml:space="preserve">you do not need any special expertise or training. </w:t>
      </w:r>
      <w:hyperlink r:id="rId14" w:history="1">
        <w:r w:rsidRPr="00940432">
          <w:rPr>
            <w:rStyle w:val="Hyperlink"/>
            <w:rFonts w:ascii="Calibri" w:hAnsi="Calibri"/>
            <w:sz w:val="24"/>
            <w:szCs w:val="24"/>
          </w:rPr>
          <w:t>http://www.nia.nih.gov/health/publication/talking-your-doctor-presentation-toolkit?utm_source=health-aging&amp;utm_medium=website&amp;utm_content=TWYDPT&amp;utm_campaign=HA_Featured</w:t>
        </w:r>
      </w:hyperlink>
    </w:p>
    <w:p w:rsidR="00940432" w:rsidRPr="00940432" w:rsidRDefault="00940432" w:rsidP="00940432">
      <w:pPr>
        <w:pStyle w:val="h3fp"/>
        <w:numPr>
          <w:ilvl w:val="0"/>
          <w:numId w:val="3"/>
        </w:numPr>
        <w:rPr>
          <w:rFonts w:asciiTheme="minorHAnsi" w:hAnsiTheme="minorHAnsi"/>
        </w:rPr>
      </w:pPr>
      <w:r w:rsidRPr="00940432">
        <w:rPr>
          <w:rFonts w:asciiTheme="minorHAnsi" w:hAnsiTheme="minorHAnsi"/>
        </w:rPr>
        <w:t>A Guide to Writing and Designing Easy-to-Use Health Web Sites</w:t>
      </w:r>
      <w:r w:rsidRPr="00940432">
        <w:rPr>
          <w:rFonts w:asciiTheme="minorHAnsi" w:hAnsiTheme="minorHAnsi"/>
        </w:rPr>
        <w:br/>
      </w:r>
      <w:hyperlink r:id="rId15" w:history="1">
        <w:r w:rsidRPr="00940432">
          <w:rPr>
            <w:rStyle w:val="Hyperlink"/>
            <w:rFonts w:asciiTheme="minorHAnsi" w:hAnsiTheme="minorHAnsi"/>
          </w:rPr>
          <w:t>http://www.health.gov/healthliteracyonline/</w:t>
        </w:r>
      </w:hyperlink>
      <w:r w:rsidRPr="00940432">
        <w:rPr>
          <w:rFonts w:asciiTheme="minorHAnsi" w:hAnsiTheme="minorHAnsi"/>
        </w:rPr>
        <w:t xml:space="preserve">   (booklet  103 pages)</w:t>
      </w:r>
    </w:p>
    <w:p w:rsidR="00940432" w:rsidRPr="00940432" w:rsidRDefault="00940432" w:rsidP="00940432">
      <w:pPr>
        <w:pStyle w:val="h3fp"/>
        <w:numPr>
          <w:ilvl w:val="0"/>
          <w:numId w:val="3"/>
        </w:numPr>
        <w:rPr>
          <w:rFonts w:asciiTheme="minorHAnsi" w:hAnsiTheme="minorHAnsi"/>
        </w:rPr>
      </w:pPr>
      <w:r w:rsidRPr="00940432">
        <w:rPr>
          <w:rFonts w:asciiTheme="minorHAnsi" w:hAnsiTheme="minorHAnsi"/>
        </w:rPr>
        <w:lastRenderedPageBreak/>
        <w:t xml:space="preserve">Brain Health Tool Kit </w:t>
      </w:r>
      <w:hyperlink r:id="rId16" w:history="1">
        <w:r w:rsidRPr="00940432">
          <w:rPr>
            <w:rStyle w:val="Hyperlink"/>
            <w:rFonts w:asciiTheme="minorHAnsi" w:hAnsiTheme="minorHAnsi"/>
          </w:rPr>
          <w:t>http://www.nia.nih.gov/health/publication/brain-health-resource#handouts</w:t>
        </w:r>
      </w:hyperlink>
      <w:r>
        <w:rPr>
          <w:rFonts w:asciiTheme="minorHAnsi" w:hAnsiTheme="minorHAnsi"/>
        </w:rPr>
        <w:br/>
      </w:r>
    </w:p>
    <w:p w:rsidR="00940432" w:rsidRPr="00940432" w:rsidRDefault="00940432" w:rsidP="00940432">
      <w:pPr>
        <w:pStyle w:val="ListParagraph"/>
        <w:numPr>
          <w:ilvl w:val="0"/>
          <w:numId w:val="3"/>
        </w:numPr>
        <w:rPr>
          <w:bCs/>
          <w:sz w:val="24"/>
          <w:szCs w:val="24"/>
          <w:u w:val="single"/>
        </w:rPr>
      </w:pPr>
      <w:r w:rsidRPr="00940432">
        <w:rPr>
          <w:bCs/>
          <w:sz w:val="24"/>
          <w:szCs w:val="24"/>
          <w:u w:val="single"/>
        </w:rPr>
        <w:t xml:space="preserve">Talking with your Doctor Video: </w:t>
      </w:r>
      <w:hyperlink r:id="rId17" w:history="1">
        <w:r w:rsidRPr="00940432">
          <w:rPr>
            <w:rStyle w:val="Hyperlink"/>
            <w:bCs/>
            <w:sz w:val="24"/>
            <w:szCs w:val="24"/>
          </w:rPr>
          <w:t>http://nihseniorhealth.gov/talkingwithyourdoctor/faq/video/dr2_na.html?intro=yes</w:t>
        </w:r>
      </w:hyperlink>
      <w:r>
        <w:br/>
      </w:r>
    </w:p>
    <w:p w:rsidR="00940432" w:rsidRPr="00940432" w:rsidRDefault="00940432" w:rsidP="00940432">
      <w:pPr>
        <w:pStyle w:val="ListParagraph"/>
        <w:numPr>
          <w:ilvl w:val="0"/>
          <w:numId w:val="3"/>
        </w:numPr>
        <w:pBdr>
          <w:left w:val="single" w:sz="12" w:space="23" w:color="EFD250"/>
          <w:right w:val="single" w:sz="12" w:space="8" w:color="EFD250"/>
        </w:pBdr>
        <w:spacing w:after="0" w:line="225" w:lineRule="atLeast"/>
        <w:rPr>
          <w:sz w:val="24"/>
          <w:szCs w:val="24"/>
        </w:rPr>
      </w:pPr>
      <w:r w:rsidRPr="00940432">
        <w:rPr>
          <w:sz w:val="24"/>
          <w:szCs w:val="24"/>
        </w:rPr>
        <w:t xml:space="preserve">Health Literacy Curricula: </w:t>
      </w:r>
    </w:p>
    <w:p w:rsidR="00940432" w:rsidRPr="00940432" w:rsidRDefault="00940432" w:rsidP="00940432">
      <w:pPr>
        <w:pStyle w:val="ListParagraph"/>
        <w:numPr>
          <w:ilvl w:val="0"/>
          <w:numId w:val="3"/>
        </w:numPr>
        <w:pBdr>
          <w:left w:val="single" w:sz="12" w:space="23" w:color="EFD250"/>
          <w:right w:val="single" w:sz="12" w:space="8" w:color="EFD250"/>
        </w:pBdr>
        <w:spacing w:after="0" w:line="225" w:lineRule="atLeast"/>
        <w:rPr>
          <w:rFonts w:eastAsia="Times New Roman" w:cs="Arial"/>
          <w:sz w:val="24"/>
          <w:szCs w:val="24"/>
          <w:lang/>
        </w:rPr>
      </w:pPr>
      <w:r w:rsidRPr="00940432">
        <w:rPr>
          <w:sz w:val="24"/>
          <w:szCs w:val="24"/>
        </w:rPr>
        <w:t>World Education is a national leader in designing and providing professional development for the adult education sector in the United States. We have developed, led, and collaborated on local, regional, and national capacity-building projects. World Education has built and operates four professional development centers and a statewide adult literacy hotline:</w:t>
      </w:r>
      <w:r w:rsidRPr="00940432">
        <w:rPr>
          <w:rFonts w:eastAsia="Times New Roman" w:cs="Arial"/>
          <w:sz w:val="24"/>
          <w:szCs w:val="24"/>
          <w:lang/>
        </w:rPr>
        <w:t xml:space="preserve"> Health literacy curricula have a variety of audiences and learning objectives. The </w:t>
      </w:r>
      <w:proofErr w:type="gramStart"/>
      <w:r w:rsidRPr="00940432">
        <w:rPr>
          <w:rFonts w:eastAsia="Times New Roman" w:cs="Arial"/>
          <w:sz w:val="24"/>
          <w:szCs w:val="24"/>
          <w:lang/>
        </w:rPr>
        <w:t>first  and</w:t>
      </w:r>
      <w:proofErr w:type="gramEnd"/>
      <w:r w:rsidRPr="00940432">
        <w:rPr>
          <w:rFonts w:eastAsia="Times New Roman" w:cs="Arial"/>
          <w:sz w:val="24"/>
          <w:szCs w:val="24"/>
          <w:lang/>
        </w:rPr>
        <w:t xml:space="preserve"> second sections are for teaching health literacy skills to adult learners and the general public. The third section includes training for literacy and health professionals to better address health literacy in their settings. </w:t>
      </w:r>
    </w:p>
    <w:p w:rsidR="00940432" w:rsidRPr="00940432" w:rsidRDefault="00940432" w:rsidP="00940432">
      <w:pPr>
        <w:pStyle w:val="NormalWeb"/>
        <w:ind w:left="360"/>
        <w:rPr>
          <w:rFonts w:asciiTheme="minorHAnsi" w:hAnsiTheme="minorHAnsi"/>
        </w:rPr>
      </w:pPr>
      <w:r w:rsidRPr="00940432">
        <w:rPr>
          <w:rFonts w:asciiTheme="minorHAnsi" w:hAnsiTheme="minorHAnsi"/>
        </w:rPr>
        <w:t>Health Literacy Curricula</w:t>
      </w:r>
      <w:r w:rsidRPr="00940432">
        <w:rPr>
          <w:rFonts w:asciiTheme="minorHAnsi" w:hAnsiTheme="minorHAnsi" w:cs="Arial"/>
          <w:color w:val="333333"/>
        </w:rPr>
        <w:t xml:space="preserve"> </w:t>
      </w:r>
      <w:hyperlink r:id="rId18" w:history="1">
        <w:r w:rsidRPr="00940432">
          <w:rPr>
            <w:rStyle w:val="Hyperlink"/>
            <w:rFonts w:asciiTheme="minorHAnsi" w:hAnsiTheme="minorHAnsi" w:cs="Arial"/>
          </w:rPr>
          <w:t>http://healthliteracy.worlded.org/</w:t>
        </w:r>
      </w:hyperlink>
      <w:r w:rsidRPr="00940432">
        <w:rPr>
          <w:rFonts w:asciiTheme="minorHAnsi" w:hAnsiTheme="minorHAnsi"/>
        </w:rPr>
        <w:t xml:space="preserve"> </w:t>
      </w:r>
      <w:r w:rsidRPr="00940432">
        <w:rPr>
          <w:rFonts w:asciiTheme="minorHAnsi" w:hAnsiTheme="minorHAnsi"/>
        </w:rPr>
        <w:br/>
        <w:t xml:space="preserve">World Education </w:t>
      </w:r>
      <w:hyperlink r:id="rId19" w:history="1">
        <w:r w:rsidRPr="00940432">
          <w:rPr>
            <w:rStyle w:val="Hyperlink"/>
            <w:rFonts w:asciiTheme="minorHAnsi" w:hAnsiTheme="minorHAnsi" w:cs="Arial"/>
          </w:rPr>
          <w:t>http://www.worlded.org/WEIInternet/us/initiatives.cfm</w:t>
        </w:r>
      </w:hyperlink>
      <w:r w:rsidRPr="00940432">
        <w:rPr>
          <w:rFonts w:asciiTheme="minorHAnsi" w:hAnsiTheme="minorHAnsi" w:cs="Arial"/>
          <w:color w:val="333333"/>
        </w:rPr>
        <w:t xml:space="preserve"> </w:t>
      </w:r>
    </w:p>
    <w:p w:rsidR="00940432" w:rsidRPr="00940432" w:rsidRDefault="00940432" w:rsidP="00940432">
      <w:pPr>
        <w:rPr>
          <w:b/>
          <w:bCs/>
          <w:i/>
          <w:sz w:val="32"/>
          <w:szCs w:val="32"/>
        </w:rPr>
      </w:pPr>
      <w:r w:rsidRPr="00940432">
        <w:rPr>
          <w:b/>
          <w:bCs/>
          <w:i/>
          <w:sz w:val="32"/>
          <w:szCs w:val="32"/>
        </w:rPr>
        <w:t>Other Educational Opportunities:</w:t>
      </w:r>
    </w:p>
    <w:p w:rsidR="00940432" w:rsidRDefault="00940432" w:rsidP="00940432">
      <w:pPr>
        <w:rPr>
          <w:bCs/>
          <w:sz w:val="24"/>
          <w:szCs w:val="24"/>
        </w:rPr>
      </w:pPr>
      <w:r w:rsidRPr="00940432">
        <w:rPr>
          <w:b/>
          <w:bCs/>
          <w:i/>
          <w:sz w:val="24"/>
          <w:szCs w:val="24"/>
        </w:rPr>
        <w:t>NNLM Resources: National Network of Libraries of Medicine</w:t>
      </w:r>
      <w:r>
        <w:rPr>
          <w:bCs/>
          <w:sz w:val="24"/>
          <w:szCs w:val="24"/>
        </w:rPr>
        <w:t xml:space="preserve"> </w:t>
      </w:r>
      <w:hyperlink r:id="rId20" w:history="1">
        <w:r w:rsidRPr="006970F8">
          <w:rPr>
            <w:rStyle w:val="Hyperlink"/>
            <w:bCs/>
            <w:sz w:val="24"/>
            <w:szCs w:val="24"/>
          </w:rPr>
          <w:t>http://nnlm.gov/outreach/consumer/</w:t>
        </w:r>
      </w:hyperlink>
      <w:r>
        <w:rPr>
          <w:bCs/>
          <w:sz w:val="24"/>
          <w:szCs w:val="24"/>
        </w:rPr>
        <w:t xml:space="preserve"> </w:t>
      </w:r>
      <w:r>
        <w:rPr>
          <w:bCs/>
          <w:sz w:val="24"/>
          <w:szCs w:val="24"/>
        </w:rPr>
        <w:br/>
      </w:r>
      <w:hyperlink r:id="rId21" w:history="1">
        <w:r w:rsidRPr="006970F8">
          <w:rPr>
            <w:rStyle w:val="Hyperlink"/>
            <w:bCs/>
            <w:sz w:val="24"/>
            <w:szCs w:val="24"/>
          </w:rPr>
          <w:t>http://nnlm.gov/outreach/community/guides/index.html</w:t>
        </w:r>
      </w:hyperlink>
      <w:r>
        <w:rPr>
          <w:bCs/>
          <w:sz w:val="24"/>
          <w:szCs w:val="24"/>
        </w:rPr>
        <w:t xml:space="preserve"> </w:t>
      </w:r>
    </w:p>
    <w:p w:rsidR="00940432" w:rsidRPr="00940432" w:rsidRDefault="00940432" w:rsidP="00940432">
      <w:pPr>
        <w:rPr>
          <w:bCs/>
          <w:sz w:val="24"/>
          <w:szCs w:val="24"/>
        </w:rPr>
      </w:pPr>
      <w:r>
        <w:rPr>
          <w:bCs/>
          <w:sz w:val="24"/>
          <w:szCs w:val="24"/>
        </w:rPr>
        <w:t xml:space="preserve"> </w:t>
      </w:r>
      <w:r w:rsidRPr="00940432">
        <w:rPr>
          <w:b/>
          <w:bCs/>
          <w:i/>
          <w:sz w:val="24"/>
          <w:szCs w:val="24"/>
        </w:rPr>
        <w:t>MLA: Medical Library Association: Consumer Health Information Specialization (CHIS)</w:t>
      </w:r>
    </w:p>
    <w:p w:rsidR="00940432" w:rsidRDefault="00940432" w:rsidP="00940432">
      <w:pPr>
        <w:rPr>
          <w:bCs/>
          <w:sz w:val="24"/>
          <w:szCs w:val="24"/>
        </w:rPr>
      </w:pPr>
      <w:r>
        <w:rPr>
          <w:bCs/>
          <w:sz w:val="24"/>
          <w:szCs w:val="24"/>
        </w:rPr>
        <w:t>CHIS will keep current in the consumer health information field by providing access to educational resources and new ideas in the field. Increase your expertise in the area of consumer health.</w:t>
      </w:r>
      <w:r>
        <w:rPr>
          <w:bCs/>
          <w:sz w:val="24"/>
          <w:szCs w:val="24"/>
        </w:rPr>
        <w:br/>
      </w:r>
      <w:hyperlink r:id="rId22" w:history="1">
        <w:r w:rsidRPr="006970F8">
          <w:rPr>
            <w:rStyle w:val="Hyperlink"/>
            <w:bCs/>
            <w:sz w:val="24"/>
            <w:szCs w:val="24"/>
          </w:rPr>
          <w:t>www.mlanet.org/education/chc</w:t>
        </w:r>
      </w:hyperlink>
      <w:r>
        <w:rPr>
          <w:bCs/>
          <w:sz w:val="24"/>
          <w:szCs w:val="24"/>
        </w:rPr>
        <w:t xml:space="preserve"> </w:t>
      </w:r>
    </w:p>
    <w:p w:rsidR="00940432" w:rsidRDefault="00940432" w:rsidP="00940432">
      <w:pPr>
        <w:rPr>
          <w:bCs/>
          <w:sz w:val="24"/>
          <w:szCs w:val="24"/>
        </w:rPr>
      </w:pPr>
    </w:p>
    <w:p w:rsidR="00940432" w:rsidRPr="00940432" w:rsidRDefault="00940432" w:rsidP="00940432">
      <w:pPr>
        <w:rPr>
          <w:bCs/>
          <w:sz w:val="24"/>
          <w:szCs w:val="24"/>
        </w:rPr>
      </w:pPr>
      <w:r w:rsidRPr="00940432">
        <w:rPr>
          <w:b/>
          <w:bCs/>
          <w:sz w:val="24"/>
          <w:szCs w:val="24"/>
        </w:rPr>
        <w:t>Teach Back:</w:t>
      </w:r>
      <w:r w:rsidRPr="00940432">
        <w:rPr>
          <w:bCs/>
          <w:sz w:val="24"/>
          <w:szCs w:val="24"/>
        </w:rPr>
        <w:t xml:space="preserve"> </w:t>
      </w:r>
      <w:r w:rsidRPr="00940432">
        <w:rPr>
          <w:rFonts w:eastAsia="Times New Roman" w:cs="Arial"/>
          <w:bCs/>
          <w:sz w:val="24"/>
          <w:szCs w:val="24"/>
        </w:rPr>
        <w:t xml:space="preserve"> What Is Teach-back?</w:t>
      </w:r>
    </w:p>
    <w:p w:rsidR="00940432" w:rsidRPr="00940432" w:rsidRDefault="00940432" w:rsidP="00940432">
      <w:pPr>
        <w:shd w:val="clear" w:color="auto" w:fill="FFFFFF"/>
        <w:spacing w:before="100" w:beforeAutospacing="1" w:after="100" w:afterAutospacing="1" w:line="300" w:lineRule="atLeast"/>
        <w:rPr>
          <w:rFonts w:eastAsia="Times New Roman" w:cs="Arial"/>
          <w:color w:val="000000"/>
          <w:sz w:val="24"/>
          <w:szCs w:val="24"/>
        </w:rPr>
      </w:pPr>
      <w:r w:rsidRPr="00940432">
        <w:rPr>
          <w:rFonts w:eastAsia="Times New Roman" w:cs="Arial"/>
          <w:color w:val="000000"/>
          <w:sz w:val="24"/>
          <w:szCs w:val="24"/>
        </w:rPr>
        <w:t xml:space="preserve">A way to make sure you—the health care provider—explained information clearly; it is not a test or quiz of   </w:t>
      </w:r>
      <w:r w:rsidRPr="00940432">
        <w:rPr>
          <w:rFonts w:eastAsia="Times New Roman" w:cs="Arial"/>
          <w:color w:val="000000"/>
          <w:sz w:val="24"/>
          <w:szCs w:val="24"/>
        </w:rPr>
        <w:br/>
        <w:t>patients. Asking a patient (or family member) to explain—</w:t>
      </w:r>
      <w:r w:rsidRPr="00940432">
        <w:rPr>
          <w:rFonts w:eastAsia="Times New Roman" w:cs="Arial"/>
          <w:b/>
          <w:bCs/>
          <w:color w:val="000000"/>
          <w:sz w:val="24"/>
          <w:szCs w:val="24"/>
        </w:rPr>
        <w:t xml:space="preserve">in </w:t>
      </w:r>
      <w:proofErr w:type="gramStart"/>
      <w:r w:rsidRPr="00940432">
        <w:rPr>
          <w:rFonts w:eastAsia="Times New Roman" w:cs="Arial"/>
          <w:b/>
          <w:bCs/>
          <w:color w:val="000000"/>
          <w:sz w:val="24"/>
          <w:szCs w:val="24"/>
        </w:rPr>
        <w:t>their own</w:t>
      </w:r>
      <w:proofErr w:type="gramEnd"/>
      <w:r w:rsidRPr="00940432">
        <w:rPr>
          <w:rFonts w:eastAsia="Times New Roman" w:cs="Arial"/>
          <w:b/>
          <w:bCs/>
          <w:color w:val="000000"/>
          <w:sz w:val="24"/>
          <w:szCs w:val="24"/>
        </w:rPr>
        <w:t xml:space="preserve"> words</w:t>
      </w:r>
      <w:r w:rsidRPr="00940432">
        <w:rPr>
          <w:rFonts w:eastAsia="Times New Roman" w:cs="Arial"/>
          <w:color w:val="000000"/>
          <w:sz w:val="24"/>
          <w:szCs w:val="24"/>
        </w:rPr>
        <w:t xml:space="preserve">—what they need to know or </w:t>
      </w:r>
      <w:r w:rsidRPr="00940432">
        <w:rPr>
          <w:rFonts w:eastAsia="Times New Roman" w:cs="Arial"/>
          <w:color w:val="000000"/>
          <w:sz w:val="24"/>
          <w:szCs w:val="24"/>
        </w:rPr>
        <w:br/>
        <w:t xml:space="preserve">do, in a caring way; a way to check for understanding and, if needed, re-explain and check again. </w:t>
      </w:r>
      <w:r>
        <w:rPr>
          <w:rFonts w:eastAsia="Times New Roman" w:cs="Arial"/>
          <w:color w:val="000000"/>
          <w:sz w:val="24"/>
          <w:szCs w:val="24"/>
        </w:rPr>
        <w:t>A research</w:t>
      </w:r>
      <w:r w:rsidRPr="00940432">
        <w:rPr>
          <w:rFonts w:eastAsia="Times New Roman" w:cs="Arial"/>
          <w:color w:val="000000"/>
          <w:sz w:val="24"/>
          <w:szCs w:val="24"/>
        </w:rPr>
        <w:t>- based health literacy intervention that promotes adherence, quality, and patient safety.</w:t>
      </w:r>
    </w:p>
    <w:p w:rsidR="00940432" w:rsidRPr="00940432" w:rsidRDefault="00940432" w:rsidP="00940432">
      <w:pPr>
        <w:shd w:val="clear" w:color="auto" w:fill="FFFFFF"/>
        <w:spacing w:before="100" w:beforeAutospacing="1" w:after="100" w:afterAutospacing="1" w:line="300" w:lineRule="atLeast"/>
        <w:rPr>
          <w:sz w:val="24"/>
          <w:szCs w:val="24"/>
        </w:rPr>
      </w:pPr>
      <w:r w:rsidRPr="00940432">
        <w:rPr>
          <w:sz w:val="24"/>
          <w:szCs w:val="24"/>
        </w:rPr>
        <w:lastRenderedPageBreak/>
        <w:t>Teach Back Training</w:t>
      </w:r>
      <w:proofErr w:type="gramStart"/>
      <w:r w:rsidRPr="00940432">
        <w:rPr>
          <w:sz w:val="24"/>
          <w:szCs w:val="24"/>
        </w:rPr>
        <w:t>:</w:t>
      </w:r>
      <w:proofErr w:type="gramEnd"/>
      <w:r w:rsidRPr="00940432">
        <w:rPr>
          <w:sz w:val="24"/>
          <w:szCs w:val="24"/>
        </w:rPr>
        <w:br/>
      </w:r>
      <w:r w:rsidRPr="00940432">
        <w:rPr>
          <w:rFonts w:eastAsia="Times New Roman" w:cs="Arial"/>
          <w:color w:val="000000"/>
          <w:sz w:val="24"/>
          <w:szCs w:val="24"/>
        </w:rPr>
        <w:t>The purpose of this toolkit is to help all health care providers learn to use teach-back—every time it is indicated—to support patients and families throughout the care continuum, especially during transitions between health care settings. The toolkit combines health literacy principles of plain language and using teach-back to confirm understanding, with behavior change principles of coaching to new habits and adapting systems to promote consistent use of key practices.</w:t>
      </w:r>
    </w:p>
    <w:p w:rsidR="00940432" w:rsidRPr="00940432" w:rsidRDefault="00940432" w:rsidP="00940432">
      <w:pPr>
        <w:shd w:val="clear" w:color="auto" w:fill="FFFFFF"/>
        <w:spacing w:before="100" w:beforeAutospacing="1" w:after="100" w:afterAutospacing="1" w:line="300" w:lineRule="atLeast"/>
        <w:rPr>
          <w:sz w:val="24"/>
          <w:szCs w:val="24"/>
        </w:rPr>
      </w:pPr>
      <w:hyperlink r:id="rId23" w:history="1">
        <w:r w:rsidRPr="00940432">
          <w:rPr>
            <w:rStyle w:val="Hyperlink"/>
            <w:sz w:val="24"/>
            <w:szCs w:val="24"/>
          </w:rPr>
          <w:t>http://www.teachbacktraining.org/</w:t>
        </w:r>
      </w:hyperlink>
      <w:r w:rsidRPr="00940432">
        <w:rPr>
          <w:color w:val="1F497D"/>
          <w:sz w:val="24"/>
          <w:szCs w:val="24"/>
        </w:rPr>
        <w:br/>
      </w:r>
      <w:r w:rsidRPr="00940432">
        <w:rPr>
          <w:rFonts w:cs="Arial"/>
          <w:color w:val="000000"/>
          <w:sz w:val="24"/>
          <w:szCs w:val="24"/>
        </w:rPr>
        <w:t xml:space="preserve">Hand Out: </w:t>
      </w:r>
      <w:hyperlink r:id="rId24" w:tgtFrame="_blank" w:tooltip="10 Elements of Competence For Using Teach-back" w:history="1">
        <w:r w:rsidRPr="00940432">
          <w:rPr>
            <w:rStyle w:val="Hyperlink"/>
            <w:rFonts w:cs="Arial"/>
            <w:sz w:val="24"/>
            <w:szCs w:val="24"/>
          </w:rPr>
          <w:t xml:space="preserve">10 Elements of Competence for Using Teach-back </w:t>
        </w:r>
        <w:proofErr w:type="gramStart"/>
        <w:r w:rsidRPr="00940432">
          <w:rPr>
            <w:rStyle w:val="Hyperlink"/>
            <w:rFonts w:cs="Arial"/>
            <w:sz w:val="24"/>
            <w:szCs w:val="24"/>
          </w:rPr>
          <w:t>Effectively</w:t>
        </w:r>
        <w:proofErr w:type="gramEnd"/>
        <w:r w:rsidRPr="00940432">
          <w:rPr>
            <w:rStyle w:val="Hyperlink"/>
            <w:rFonts w:cs="Arial"/>
            <w:sz w:val="24"/>
            <w:szCs w:val="24"/>
          </w:rPr>
          <w:t xml:space="preserve"> (PDF).</w:t>
        </w:r>
      </w:hyperlink>
    </w:p>
    <w:p w:rsidR="00940432" w:rsidRPr="00940432" w:rsidRDefault="00940432" w:rsidP="00940432">
      <w:pPr>
        <w:rPr>
          <w:color w:val="1F497D"/>
          <w:sz w:val="24"/>
          <w:szCs w:val="24"/>
        </w:rPr>
      </w:pPr>
    </w:p>
    <w:p w:rsidR="00940432" w:rsidRPr="00940432" w:rsidRDefault="00940432" w:rsidP="00940432">
      <w:pPr>
        <w:spacing w:after="150" w:line="375" w:lineRule="atLeast"/>
        <w:rPr>
          <w:rFonts w:eastAsia="Times New Roman" w:cs="Arial"/>
          <w:b/>
          <w:bCs/>
          <w:color w:val="333333"/>
          <w:sz w:val="24"/>
          <w:szCs w:val="24"/>
        </w:rPr>
      </w:pPr>
      <w:r w:rsidRPr="00940432">
        <w:rPr>
          <w:rFonts w:eastAsia="Times New Roman" w:cs="Arial"/>
          <w:b/>
          <w:bCs/>
          <w:color w:val="333333"/>
          <w:sz w:val="24"/>
          <w:szCs w:val="24"/>
        </w:rPr>
        <w:t>Training from CDC</w:t>
      </w:r>
    </w:p>
    <w:p w:rsidR="00940432" w:rsidRPr="00940432" w:rsidRDefault="00940432" w:rsidP="00940432">
      <w:pPr>
        <w:spacing w:after="150" w:line="375" w:lineRule="atLeast"/>
        <w:rPr>
          <w:rFonts w:eastAsia="Times New Roman" w:cs="Arial"/>
          <w:color w:val="333333"/>
          <w:sz w:val="24"/>
          <w:szCs w:val="24"/>
        </w:rPr>
      </w:pPr>
      <w:r w:rsidRPr="00940432">
        <w:rPr>
          <w:rFonts w:eastAsia="Times New Roman" w:cs="Arial"/>
          <w:color w:val="333333"/>
          <w:sz w:val="24"/>
          <w:szCs w:val="24"/>
        </w:rPr>
        <w:t xml:space="preserve">CDC offers five online </w:t>
      </w:r>
      <w:r w:rsidRPr="00940432">
        <w:rPr>
          <w:rFonts w:eastAsia="Times New Roman" w:cs="Arial"/>
          <w:b/>
          <w:color w:val="333333"/>
          <w:sz w:val="24"/>
          <w:szCs w:val="24"/>
        </w:rPr>
        <w:t>health literacy courses for health professionals</w:t>
      </w:r>
      <w:r w:rsidRPr="00940432">
        <w:rPr>
          <w:rFonts w:eastAsia="Times New Roman" w:cs="Arial"/>
          <w:color w:val="333333"/>
          <w:sz w:val="24"/>
          <w:szCs w:val="24"/>
        </w:rPr>
        <w:t>. We recommend that you take the introductory course “Health Literacy for Public Health Professionals” first and “Writing for the Public” second. The other courses can be taken in any order, depending on your interests.  </w:t>
      </w:r>
    </w:p>
    <w:p w:rsidR="00940432" w:rsidRPr="00940432" w:rsidRDefault="00940432" w:rsidP="00940432">
      <w:pPr>
        <w:numPr>
          <w:ilvl w:val="0"/>
          <w:numId w:val="2"/>
        </w:numPr>
        <w:spacing w:after="150" w:line="375" w:lineRule="atLeast"/>
        <w:rPr>
          <w:rFonts w:eastAsia="Times New Roman" w:cs="Arial"/>
          <w:color w:val="333333"/>
          <w:sz w:val="24"/>
          <w:szCs w:val="24"/>
        </w:rPr>
      </w:pPr>
      <w:hyperlink r:id="rId25" w:history="1">
        <w:r w:rsidRPr="00940432">
          <w:rPr>
            <w:rStyle w:val="Hyperlink"/>
            <w:rFonts w:eastAsia="Times New Roman" w:cs="Arial"/>
            <w:sz w:val="24"/>
            <w:szCs w:val="24"/>
          </w:rPr>
          <w:t>Health Literacy for Public Health Professionals(http://www.cdc.gov/healthliteracy/gettrainingce.html)</w:t>
        </w:r>
      </w:hyperlink>
      <w:r w:rsidRPr="00940432">
        <w:rPr>
          <w:rFonts w:eastAsia="Times New Roman" w:cs="Arial"/>
          <w:color w:val="333333"/>
          <w:sz w:val="24"/>
          <w:szCs w:val="24"/>
        </w:rPr>
        <w:t xml:space="preserve"> (free continuing education)</w:t>
      </w:r>
    </w:p>
    <w:p w:rsidR="00940432" w:rsidRPr="00940432" w:rsidRDefault="00940432" w:rsidP="00940432">
      <w:pPr>
        <w:numPr>
          <w:ilvl w:val="0"/>
          <w:numId w:val="2"/>
        </w:numPr>
        <w:spacing w:after="150" w:line="375" w:lineRule="atLeast"/>
        <w:rPr>
          <w:rFonts w:eastAsia="Times New Roman" w:cs="Arial"/>
          <w:color w:val="333333"/>
          <w:sz w:val="24"/>
          <w:szCs w:val="24"/>
        </w:rPr>
      </w:pPr>
      <w:hyperlink r:id="rId26" w:history="1">
        <w:r w:rsidRPr="00940432">
          <w:rPr>
            <w:rStyle w:val="Hyperlink"/>
            <w:rFonts w:eastAsia="Times New Roman" w:cs="Arial"/>
            <w:sz w:val="24"/>
            <w:szCs w:val="24"/>
          </w:rPr>
          <w:t>Writing for the Public(http://www.cdc.gov/healthliteracy/writing-course/index.html)</w:t>
        </w:r>
      </w:hyperlink>
      <w:r w:rsidRPr="00940432">
        <w:rPr>
          <w:rFonts w:eastAsia="Times New Roman" w:cs="Arial"/>
          <w:color w:val="333333"/>
          <w:sz w:val="24"/>
          <w:szCs w:val="24"/>
        </w:rPr>
        <w:t xml:space="preserve"> (printable completion certificate)</w:t>
      </w:r>
    </w:p>
    <w:p w:rsidR="00940432" w:rsidRPr="00940432" w:rsidRDefault="00940432" w:rsidP="00940432">
      <w:pPr>
        <w:numPr>
          <w:ilvl w:val="0"/>
          <w:numId w:val="2"/>
        </w:numPr>
        <w:spacing w:after="150" w:line="375" w:lineRule="atLeast"/>
        <w:rPr>
          <w:rFonts w:eastAsia="Times New Roman" w:cs="Arial"/>
          <w:color w:val="333333"/>
          <w:sz w:val="24"/>
          <w:szCs w:val="24"/>
        </w:rPr>
      </w:pPr>
      <w:hyperlink r:id="rId27" w:history="1">
        <w:r w:rsidRPr="00940432">
          <w:rPr>
            <w:rStyle w:val="Hyperlink"/>
            <w:rFonts w:eastAsia="Times New Roman" w:cs="Arial"/>
            <w:sz w:val="24"/>
            <w:szCs w:val="24"/>
          </w:rPr>
          <w:t>Using Numbers and Explaining Risk(http://www.cdc.gov/healthliteracy/numeracy-course/index.html)</w:t>
        </w:r>
      </w:hyperlink>
      <w:r w:rsidRPr="00940432">
        <w:rPr>
          <w:rFonts w:eastAsia="Times New Roman" w:cs="Arial"/>
          <w:color w:val="333333"/>
          <w:sz w:val="24"/>
          <w:szCs w:val="24"/>
        </w:rPr>
        <w:t xml:space="preserve"> (printable completion certificate)</w:t>
      </w:r>
    </w:p>
    <w:p w:rsidR="00940432" w:rsidRPr="00940432" w:rsidRDefault="00940432" w:rsidP="00940432">
      <w:pPr>
        <w:numPr>
          <w:ilvl w:val="0"/>
          <w:numId w:val="2"/>
        </w:numPr>
        <w:spacing w:after="150" w:line="375" w:lineRule="atLeast"/>
        <w:rPr>
          <w:rFonts w:eastAsia="Times New Roman" w:cs="Arial"/>
          <w:color w:val="333333"/>
          <w:sz w:val="24"/>
          <w:szCs w:val="24"/>
        </w:rPr>
      </w:pPr>
      <w:hyperlink r:id="rId28" w:history="1">
        <w:r w:rsidRPr="00940432">
          <w:rPr>
            <w:rStyle w:val="Hyperlink"/>
            <w:rFonts w:eastAsia="Times New Roman" w:cs="Arial"/>
            <w:sz w:val="24"/>
            <w:szCs w:val="24"/>
          </w:rPr>
          <w:t>Creating Easier to Understand Lists, Charts, and Graphs(http://www.cdc.gov/healthliteracy/document-course/index.html)</w:t>
        </w:r>
      </w:hyperlink>
      <w:r w:rsidRPr="00940432">
        <w:rPr>
          <w:rFonts w:eastAsia="Times New Roman" w:cs="Arial"/>
          <w:color w:val="333333"/>
          <w:sz w:val="24"/>
          <w:szCs w:val="24"/>
        </w:rPr>
        <w:t xml:space="preserve"> (printable completion certificate)</w:t>
      </w:r>
    </w:p>
    <w:p w:rsidR="00940432" w:rsidRPr="00940432" w:rsidRDefault="00940432" w:rsidP="00940432">
      <w:pPr>
        <w:numPr>
          <w:ilvl w:val="0"/>
          <w:numId w:val="2"/>
        </w:numPr>
        <w:spacing w:after="150" w:line="375" w:lineRule="atLeast"/>
        <w:rPr>
          <w:rFonts w:eastAsia="Times New Roman" w:cs="Arial"/>
          <w:color w:val="333333"/>
          <w:sz w:val="24"/>
          <w:szCs w:val="24"/>
        </w:rPr>
      </w:pPr>
      <w:hyperlink r:id="rId29" w:history="1">
        <w:r w:rsidRPr="00940432">
          <w:rPr>
            <w:rStyle w:val="Hyperlink"/>
            <w:rFonts w:eastAsia="Times New Roman" w:cs="Arial"/>
            <w:sz w:val="24"/>
            <w:szCs w:val="24"/>
          </w:rPr>
          <w:t>Speaking with the Public(http://www.cdc.gov/healthliteracy/speaking-course/index.html)</w:t>
        </w:r>
      </w:hyperlink>
      <w:r w:rsidRPr="00940432">
        <w:rPr>
          <w:rFonts w:eastAsia="Times New Roman" w:cs="Arial"/>
          <w:color w:val="333333"/>
          <w:sz w:val="24"/>
          <w:szCs w:val="24"/>
        </w:rPr>
        <w:t xml:space="preserve"> (printable completion certificate)</w:t>
      </w:r>
    </w:p>
    <w:p w:rsidR="00940432" w:rsidRPr="00940432" w:rsidRDefault="00940432" w:rsidP="00940432">
      <w:pPr>
        <w:spacing w:after="150" w:line="375" w:lineRule="atLeast"/>
        <w:rPr>
          <w:rFonts w:eastAsia="Times New Roman" w:cs="Arial"/>
          <w:color w:val="333333"/>
          <w:sz w:val="24"/>
          <w:szCs w:val="24"/>
        </w:rPr>
      </w:pPr>
      <w:r w:rsidRPr="00940432">
        <w:rPr>
          <w:rFonts w:eastAsia="Times New Roman" w:cs="Arial"/>
          <w:b/>
          <w:color w:val="333333"/>
          <w:sz w:val="24"/>
          <w:szCs w:val="24"/>
        </w:rPr>
        <w:t>CDC offers a consumer and patient communication skill-building module</w:t>
      </w:r>
      <w:r w:rsidRPr="00940432">
        <w:rPr>
          <w:rFonts w:eastAsia="Times New Roman" w:cs="Arial"/>
          <w:color w:val="333333"/>
          <w:sz w:val="24"/>
          <w:szCs w:val="24"/>
        </w:rPr>
        <w:t xml:space="preserve">, </w:t>
      </w:r>
    </w:p>
    <w:p w:rsidR="00940432" w:rsidRPr="00940432" w:rsidRDefault="00940432" w:rsidP="00940432">
      <w:pPr>
        <w:spacing w:after="150" w:line="375" w:lineRule="atLeast"/>
        <w:rPr>
          <w:rFonts w:eastAsia="Times New Roman" w:cs="Arial"/>
          <w:color w:val="333333"/>
          <w:sz w:val="24"/>
          <w:szCs w:val="24"/>
        </w:rPr>
      </w:pPr>
      <w:r w:rsidRPr="00940432">
        <w:rPr>
          <w:rFonts w:eastAsia="Times New Roman" w:cs="Arial"/>
          <w:color w:val="333333"/>
          <w:sz w:val="24"/>
          <w:szCs w:val="24"/>
        </w:rPr>
        <w:t xml:space="preserve">Good Questions for Good Health. It encourages question-asking and provides strategies for formulating and asking questions before, during, and after medical appointments. The </w:t>
      </w:r>
      <w:hyperlink r:id="rId30" w:tgtFrame="_blank" w:history="1">
        <w:r w:rsidRPr="00940432">
          <w:rPr>
            <w:rFonts w:eastAsia="Times New Roman" w:cs="Arial"/>
            <w:color w:val="075290"/>
            <w:sz w:val="24"/>
            <w:szCs w:val="24"/>
            <w:u w:val="single"/>
          </w:rPr>
          <w:t>Toolkit</w:t>
        </w:r>
      </w:hyperlink>
      <w:r w:rsidRPr="00940432">
        <w:rPr>
          <w:rFonts w:eastAsia="Times New Roman" w:cs="Arial"/>
          <w:color w:val="333333"/>
          <w:sz w:val="24"/>
          <w:szCs w:val="24"/>
        </w:rPr>
        <w:t xml:space="preserve"> </w:t>
      </w:r>
      <w:r w:rsidRPr="00940432">
        <w:rPr>
          <w:rFonts w:eastAsia="Times New Roman" w:cs="Arial"/>
          <w:color w:val="333333"/>
          <w:sz w:val="24"/>
          <w:szCs w:val="24"/>
        </w:rPr>
        <w:lastRenderedPageBreak/>
        <w:t xml:space="preserve">includes a </w:t>
      </w:r>
      <w:hyperlink r:id="rId31" w:tgtFrame="_blank" w:history="1">
        <w:r w:rsidRPr="00940432">
          <w:rPr>
            <w:rFonts w:eastAsia="Times New Roman" w:cs="Arial"/>
            <w:color w:val="075290"/>
            <w:sz w:val="24"/>
            <w:szCs w:val="24"/>
            <w:u w:val="single"/>
          </w:rPr>
          <w:t>presentation,</w:t>
        </w:r>
      </w:hyperlink>
      <w:r w:rsidRPr="00940432">
        <w:rPr>
          <w:rFonts w:eastAsia="Times New Roman" w:cs="Arial"/>
          <w:color w:val="333333"/>
          <w:sz w:val="24"/>
          <w:szCs w:val="24"/>
        </w:rPr>
        <w:t xml:space="preserve"> presentation notes, skill building activity, take-home handout, and an evaluation form.</w:t>
      </w:r>
    </w:p>
    <w:p w:rsidR="00940432" w:rsidRPr="00940432" w:rsidRDefault="00940432" w:rsidP="00940432">
      <w:pPr>
        <w:rPr>
          <w:rFonts w:cs="Arial"/>
          <w:color w:val="1F497D"/>
          <w:sz w:val="24"/>
          <w:szCs w:val="24"/>
        </w:rPr>
      </w:pPr>
      <w:hyperlink r:id="rId32" w:history="1">
        <w:r w:rsidRPr="00940432">
          <w:rPr>
            <w:rStyle w:val="Hyperlink"/>
            <w:rFonts w:cs="Arial"/>
            <w:sz w:val="24"/>
            <w:szCs w:val="24"/>
          </w:rPr>
          <w:t>http://www.cdc.gov/healthliteracy/pdf/gqgh-toolkit.pdf</w:t>
        </w:r>
      </w:hyperlink>
    </w:p>
    <w:p w:rsidR="00940432" w:rsidRPr="00940432" w:rsidRDefault="00940432" w:rsidP="00940432">
      <w:pPr>
        <w:rPr>
          <w:rFonts w:cs="Arial"/>
          <w:color w:val="1F497D"/>
          <w:sz w:val="24"/>
          <w:szCs w:val="24"/>
        </w:rPr>
      </w:pPr>
      <w:hyperlink r:id="rId33" w:history="1">
        <w:r w:rsidRPr="00940432">
          <w:rPr>
            <w:rStyle w:val="Hyperlink"/>
            <w:rFonts w:cs="Arial"/>
            <w:sz w:val="24"/>
            <w:szCs w:val="24"/>
          </w:rPr>
          <w:t>http://www.cdc.gov/healthliteracy/pdf/gqgh-presentation.pdf</w:t>
        </w:r>
      </w:hyperlink>
      <w:r w:rsidRPr="00940432">
        <w:rPr>
          <w:rFonts w:cs="Arial"/>
          <w:color w:val="1F497D"/>
          <w:sz w:val="24"/>
          <w:szCs w:val="24"/>
        </w:rPr>
        <w:t xml:space="preserve"> </w:t>
      </w:r>
    </w:p>
    <w:p w:rsidR="00940432" w:rsidRPr="00940432" w:rsidRDefault="00940432" w:rsidP="00940432">
      <w:pPr>
        <w:rPr>
          <w:rFonts w:cs="Arial"/>
          <w:color w:val="1F497D"/>
          <w:sz w:val="24"/>
          <w:szCs w:val="24"/>
        </w:rPr>
      </w:pPr>
    </w:p>
    <w:p w:rsidR="00940432" w:rsidRPr="00940432" w:rsidRDefault="00940432" w:rsidP="00940432">
      <w:pPr>
        <w:spacing w:after="100" w:afterAutospacing="1" w:line="360" w:lineRule="auto"/>
        <w:textAlignment w:val="top"/>
        <w:rPr>
          <w:rFonts w:ascii="Verdana" w:eastAsia="Times New Roman" w:hAnsi="Verdana" w:cs="Times New Roman"/>
          <w:color w:val="333333"/>
          <w:sz w:val="20"/>
          <w:szCs w:val="20"/>
        </w:rPr>
      </w:pPr>
      <w:r w:rsidRPr="00940432">
        <w:rPr>
          <w:rFonts w:cs="Arial"/>
          <w:b/>
          <w:i/>
          <w:sz w:val="24"/>
          <w:szCs w:val="24"/>
        </w:rPr>
        <w:t>Health Literacy Consulting:</w:t>
      </w:r>
      <w:r>
        <w:rPr>
          <w:rFonts w:cs="Arial"/>
          <w:b/>
          <w:i/>
          <w:sz w:val="24"/>
          <w:szCs w:val="24"/>
        </w:rPr>
        <w:t xml:space="preserve"> Helen Osborne </w:t>
      </w:r>
      <w:r w:rsidRPr="00940432">
        <w:rPr>
          <w:rFonts w:ascii="Verdana" w:eastAsia="Times New Roman" w:hAnsi="Verdana" w:cs="Times New Roman"/>
          <w:color w:val="333333"/>
          <w:sz w:val="20"/>
          <w:szCs w:val="20"/>
        </w:rPr>
        <w:t xml:space="preserve">is the president of Health Literacy Consulting based in Natick, Massachusetts. She speaks with groups across the U.S. and around the world about health literacy. She also is a plain language writer/editor, working on a wide range of health materials.  </w:t>
      </w:r>
    </w:p>
    <w:p w:rsidR="00940432" w:rsidRPr="00940432" w:rsidRDefault="00940432" w:rsidP="00940432">
      <w:pPr>
        <w:spacing w:after="100" w:afterAutospacing="1" w:line="360" w:lineRule="auto"/>
        <w:textAlignment w:val="top"/>
        <w:rPr>
          <w:rFonts w:ascii="Verdana" w:eastAsia="Times New Roman" w:hAnsi="Verdana" w:cs="Times New Roman"/>
          <w:color w:val="333333"/>
          <w:sz w:val="20"/>
          <w:szCs w:val="20"/>
        </w:rPr>
      </w:pPr>
      <w:r w:rsidRPr="00940432">
        <w:rPr>
          <w:rFonts w:ascii="Verdana" w:eastAsia="Times New Roman" w:hAnsi="Verdana" w:cs="Times New Roman"/>
          <w:color w:val="333333"/>
          <w:sz w:val="20"/>
          <w:szCs w:val="20"/>
        </w:rPr>
        <w:t>Recognized as a health literacy expert, Helen brings clinical experience, educational training, and patient perspective to everything she does. Helen's award-winning book, </w:t>
      </w:r>
      <w:r w:rsidRPr="00940432">
        <w:rPr>
          <w:rFonts w:ascii="Verdana" w:eastAsia="Times New Roman" w:hAnsi="Verdana" w:cs="Times New Roman"/>
          <w:i/>
          <w:iCs/>
          <w:color w:val="333333"/>
          <w:sz w:val="20"/>
          <w:szCs w:val="20"/>
        </w:rPr>
        <w:t xml:space="preserve">Health Literacy from </w:t>
      </w:r>
      <w:proofErr w:type="gramStart"/>
      <w:r w:rsidRPr="00940432">
        <w:rPr>
          <w:rFonts w:ascii="Verdana" w:eastAsia="Times New Roman" w:hAnsi="Verdana" w:cs="Times New Roman"/>
          <w:i/>
          <w:iCs/>
          <w:color w:val="333333"/>
          <w:sz w:val="20"/>
          <w:szCs w:val="20"/>
        </w:rPr>
        <w:t>A</w:t>
      </w:r>
      <w:proofErr w:type="gramEnd"/>
      <w:r w:rsidRPr="00940432">
        <w:rPr>
          <w:rFonts w:ascii="Verdana" w:eastAsia="Times New Roman" w:hAnsi="Verdana" w:cs="Times New Roman"/>
          <w:i/>
          <w:iCs/>
          <w:color w:val="333333"/>
          <w:sz w:val="20"/>
          <w:szCs w:val="20"/>
        </w:rPr>
        <w:t xml:space="preserve"> to Z: Practical Ways to Communicate Your Health Message</w:t>
      </w:r>
      <w:r w:rsidRPr="00940432">
        <w:rPr>
          <w:rFonts w:ascii="Verdana" w:eastAsia="Times New Roman" w:hAnsi="Verdana" w:cs="Times New Roman"/>
          <w:color w:val="333333"/>
          <w:sz w:val="20"/>
          <w:szCs w:val="20"/>
        </w:rPr>
        <w:t xml:space="preserve"> is considered by many as the most important health literacy reference today.  </w:t>
      </w:r>
    </w:p>
    <w:p w:rsidR="00940432" w:rsidRPr="00940432" w:rsidRDefault="00940432" w:rsidP="00940432">
      <w:pPr>
        <w:rPr>
          <w:rFonts w:cs="Arial"/>
          <w:sz w:val="24"/>
          <w:szCs w:val="24"/>
        </w:rPr>
      </w:pPr>
      <w:r>
        <w:rPr>
          <w:rFonts w:cs="Arial"/>
          <w:bCs/>
          <w:sz w:val="24"/>
          <w:szCs w:val="24"/>
        </w:rPr>
        <w:t xml:space="preserve"> </w:t>
      </w:r>
      <w:r w:rsidRPr="009864F9">
        <w:rPr>
          <w:rFonts w:cs="Arial"/>
          <w:bCs/>
          <w:sz w:val="24"/>
          <w:szCs w:val="24"/>
        </w:rPr>
        <w:t xml:space="preserve">Health Literacy Consulting helps organizations communicate health information in ways </w:t>
      </w:r>
      <w:r>
        <w:rPr>
          <w:rFonts w:cs="Arial"/>
          <w:bCs/>
          <w:sz w:val="24"/>
          <w:szCs w:val="24"/>
        </w:rPr>
        <w:t xml:space="preserve">      </w:t>
      </w:r>
      <w:r w:rsidRPr="009864F9">
        <w:rPr>
          <w:rFonts w:cs="Arial"/>
          <w:bCs/>
          <w:sz w:val="24"/>
          <w:szCs w:val="24"/>
        </w:rPr>
        <w:t>that patients, caregivers, and the public can understand. Services and resources include: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34" w:history="1">
        <w:r>
          <w:rPr>
            <w:rStyle w:val="Hyperlink"/>
            <w:rFonts w:ascii="Verdana" w:hAnsi="Verdana"/>
            <w:sz w:val="18"/>
            <w:szCs w:val="18"/>
          </w:rPr>
          <w:t>Workshops &amp; keynote presentations</w:t>
        </w:r>
      </w:hyperlink>
      <w:r>
        <w:rPr>
          <w:rFonts w:ascii="Verdana" w:hAnsi="Verdana"/>
          <w:color w:val="333333"/>
          <w:sz w:val="18"/>
          <w:szCs w:val="18"/>
        </w:rPr>
        <w:t xml:space="preserv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35" w:history="1">
        <w:r>
          <w:rPr>
            <w:rStyle w:val="Hyperlink"/>
            <w:rFonts w:ascii="Verdana" w:hAnsi="Verdana"/>
            <w:sz w:val="18"/>
            <w:szCs w:val="18"/>
          </w:rPr>
          <w:t>Plain language writing &amp; editing</w:t>
        </w:r>
      </w:hyperlink>
      <w:r>
        <w:rPr>
          <w:rFonts w:ascii="Verdana" w:hAnsi="Verdana"/>
          <w:color w:val="333333"/>
          <w:sz w:val="18"/>
          <w:szCs w:val="18"/>
        </w:rPr>
        <w:t xml:space="preserv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36" w:history="1">
        <w:r>
          <w:rPr>
            <w:rStyle w:val="Hyperlink"/>
            <w:rFonts w:ascii="Verdana" w:hAnsi="Verdana"/>
            <w:sz w:val="18"/>
            <w:szCs w:val="18"/>
          </w:rPr>
          <w:t>How-to tips</w:t>
        </w:r>
      </w:hyperlink>
      <w:r>
        <w:rPr>
          <w:rFonts w:ascii="Verdana" w:hAnsi="Verdana"/>
          <w:color w:val="333333"/>
          <w:sz w:val="18"/>
          <w:szCs w:val="18"/>
        </w:rPr>
        <w:t xml:space="preserve">, </w:t>
      </w:r>
      <w:hyperlink r:id="rId37" w:history="1">
        <w:r>
          <w:rPr>
            <w:rStyle w:val="Hyperlink"/>
            <w:rFonts w:ascii="Verdana" w:hAnsi="Verdana"/>
            <w:sz w:val="18"/>
            <w:szCs w:val="18"/>
          </w:rPr>
          <w:t>articles</w:t>
        </w:r>
      </w:hyperlink>
      <w:r>
        <w:rPr>
          <w:rFonts w:ascii="Verdana" w:hAnsi="Verdana"/>
          <w:color w:val="333333"/>
          <w:sz w:val="18"/>
          <w:szCs w:val="18"/>
        </w:rPr>
        <w:t>, and </w:t>
      </w:r>
      <w:hyperlink r:id="rId38" w:history="1">
        <w:r>
          <w:rPr>
            <w:rStyle w:val="Hyperlink"/>
            <w:rFonts w:ascii="Verdana" w:hAnsi="Verdana"/>
            <w:sz w:val="18"/>
            <w:szCs w:val="18"/>
          </w:rPr>
          <w:t>books</w:t>
        </w:r>
      </w:hyperlink>
      <w:r>
        <w:rPr>
          <w:rFonts w:ascii="Verdana" w:hAnsi="Verdana"/>
          <w:color w:val="333333"/>
          <w:sz w:val="18"/>
          <w:szCs w:val="18"/>
        </w:rPr>
        <w:t xml:space="preserv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39" w:history="1">
        <w:r>
          <w:rPr>
            <w:rStyle w:val="Hyperlink"/>
            <w:rFonts w:ascii="Verdana" w:hAnsi="Verdana"/>
            <w:sz w:val="18"/>
            <w:szCs w:val="18"/>
          </w:rPr>
          <w:t>Health Literacy Month</w:t>
        </w:r>
      </w:hyperlink>
      <w:r>
        <w:rPr>
          <w:rFonts w:ascii="Verdana" w:hAnsi="Verdana"/>
          <w:color w:val="333333"/>
          <w:sz w:val="18"/>
          <w:szCs w:val="18"/>
        </w:rPr>
        <w:t xml:space="preserv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40" w:history="1">
        <w:r>
          <w:rPr>
            <w:rStyle w:val="Hyperlink"/>
            <w:rFonts w:ascii="Verdana" w:hAnsi="Verdana"/>
            <w:sz w:val="18"/>
            <w:szCs w:val="18"/>
          </w:rPr>
          <w:t>Health Literacy Out Loud podcasts</w:t>
        </w:r>
      </w:hyperlink>
      <w:r>
        <w:rPr>
          <w:rFonts w:ascii="Verdana" w:hAnsi="Verdana"/>
          <w:color w:val="333333"/>
          <w:sz w:val="18"/>
          <w:szCs w:val="18"/>
        </w:rPr>
        <w:t xml:space="preserv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41" w:history="1">
        <w:r>
          <w:rPr>
            <w:rStyle w:val="Hyperlink"/>
            <w:rFonts w:ascii="Verdana" w:hAnsi="Verdana"/>
            <w:sz w:val="18"/>
            <w:szCs w:val="18"/>
          </w:rPr>
          <w:t>Health Literacy Out Loud transcripts</w:t>
        </w:r>
      </w:hyperlink>
      <w:r>
        <w:rPr>
          <w:rFonts w:ascii="Verdana" w:hAnsi="Verdana"/>
          <w:color w:val="333333"/>
          <w:sz w:val="18"/>
          <w:szCs w:val="18"/>
        </w:rPr>
        <w:t xml:space="preserve"> </w:t>
      </w:r>
    </w:p>
    <w:p w:rsidR="00940432" w:rsidRDefault="00940432" w:rsidP="00940432">
      <w:pPr>
        <w:numPr>
          <w:ilvl w:val="0"/>
          <w:numId w:val="4"/>
        </w:numPr>
        <w:spacing w:before="75" w:after="75" w:line="360" w:lineRule="auto"/>
        <w:textAlignment w:val="top"/>
        <w:rPr>
          <w:rFonts w:ascii="Verdana" w:hAnsi="Verdana"/>
          <w:color w:val="333333"/>
          <w:sz w:val="18"/>
          <w:szCs w:val="18"/>
        </w:rPr>
      </w:pPr>
      <w:hyperlink r:id="rId42" w:history="1">
        <w:r>
          <w:rPr>
            <w:rStyle w:val="Hyperlink"/>
            <w:rFonts w:ascii="Verdana" w:hAnsi="Verdana"/>
            <w:sz w:val="18"/>
            <w:szCs w:val="18"/>
          </w:rPr>
          <w:t>Health Literacy Highlights</w:t>
        </w:r>
      </w:hyperlink>
      <w:r>
        <w:rPr>
          <w:rFonts w:ascii="Verdana" w:hAnsi="Verdana"/>
          <w:color w:val="333333"/>
          <w:sz w:val="18"/>
          <w:szCs w:val="18"/>
        </w:rPr>
        <w:t xml:space="preserve"> </w:t>
      </w:r>
    </w:p>
    <w:p w:rsidR="004A3501" w:rsidRDefault="00940432" w:rsidP="00940432">
      <w:pPr>
        <w:rPr>
          <w:sz w:val="24"/>
          <w:szCs w:val="24"/>
        </w:rPr>
      </w:pPr>
      <w:hyperlink r:id="rId43" w:history="1">
        <w:r w:rsidRPr="00940432">
          <w:rPr>
            <w:rStyle w:val="Hyperlink"/>
            <w:sz w:val="24"/>
            <w:szCs w:val="24"/>
          </w:rPr>
          <w:t>http://www.healthliteracy.com/</w:t>
        </w:r>
      </w:hyperlink>
      <w:r w:rsidRPr="00940432">
        <w:rPr>
          <w:sz w:val="24"/>
          <w:szCs w:val="24"/>
        </w:rPr>
        <w:t xml:space="preserve"> </w:t>
      </w:r>
    </w:p>
    <w:p w:rsidR="003B7EA1" w:rsidRDefault="003B7EA1" w:rsidP="00940432">
      <w:pPr>
        <w:rPr>
          <w:sz w:val="24"/>
          <w:szCs w:val="24"/>
        </w:rPr>
      </w:pPr>
    </w:p>
    <w:p w:rsidR="003B7EA1" w:rsidRPr="003B7EA1" w:rsidRDefault="003B7EA1" w:rsidP="003B7EA1">
      <w:pPr>
        <w:spacing w:after="0" w:line="336" w:lineRule="auto"/>
        <w:textAlignment w:val="baseline"/>
        <w:rPr>
          <w:rFonts w:ascii="Verdana" w:eastAsia="Times New Roman" w:hAnsi="Verdana" w:cs="Times New Roman"/>
          <w:color w:val="171717"/>
          <w:sz w:val="20"/>
          <w:szCs w:val="20"/>
        </w:rPr>
      </w:pPr>
    </w:p>
    <w:p w:rsidR="003B7EA1" w:rsidRPr="00940432" w:rsidRDefault="003B7EA1" w:rsidP="00940432">
      <w:pPr>
        <w:rPr>
          <w:sz w:val="24"/>
          <w:szCs w:val="24"/>
        </w:rPr>
      </w:pPr>
    </w:p>
    <w:sectPr w:rsidR="003B7EA1" w:rsidRPr="00940432" w:rsidSect="002F0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507"/>
    <w:multiLevelType w:val="hybridMultilevel"/>
    <w:tmpl w:val="2410BC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B3295"/>
    <w:multiLevelType w:val="multilevel"/>
    <w:tmpl w:val="83A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978C0"/>
    <w:multiLevelType w:val="hybridMultilevel"/>
    <w:tmpl w:val="7BF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A4D28"/>
    <w:multiLevelType w:val="multilevel"/>
    <w:tmpl w:val="99C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drawingGridHorizontalSpacing w:val="110"/>
  <w:displayHorizontalDrawingGridEvery w:val="2"/>
  <w:displayVerticalDrawingGridEvery w:val="2"/>
  <w:characterSpacingControl w:val="doNotCompress"/>
  <w:compat/>
  <w:rsids>
    <w:rsidRoot w:val="00940432"/>
    <w:rsid w:val="0000421D"/>
    <w:rsid w:val="00005CC1"/>
    <w:rsid w:val="0000697D"/>
    <w:rsid w:val="00011DF6"/>
    <w:rsid w:val="00014232"/>
    <w:rsid w:val="000144B7"/>
    <w:rsid w:val="00020399"/>
    <w:rsid w:val="0002270C"/>
    <w:rsid w:val="0002536E"/>
    <w:rsid w:val="00025A3C"/>
    <w:rsid w:val="0003447B"/>
    <w:rsid w:val="000402E0"/>
    <w:rsid w:val="00041EF3"/>
    <w:rsid w:val="00051E73"/>
    <w:rsid w:val="00061701"/>
    <w:rsid w:val="000617CD"/>
    <w:rsid w:val="000622C8"/>
    <w:rsid w:val="000654DB"/>
    <w:rsid w:val="00065FB5"/>
    <w:rsid w:val="000A138F"/>
    <w:rsid w:val="000B54CB"/>
    <w:rsid w:val="000C03AB"/>
    <w:rsid w:val="000C46A8"/>
    <w:rsid w:val="000C4E54"/>
    <w:rsid w:val="000D17BB"/>
    <w:rsid w:val="000D2E67"/>
    <w:rsid w:val="000E17F5"/>
    <w:rsid w:val="000E49BE"/>
    <w:rsid w:val="000F6BF6"/>
    <w:rsid w:val="00100EA4"/>
    <w:rsid w:val="001038AC"/>
    <w:rsid w:val="001107A7"/>
    <w:rsid w:val="00112360"/>
    <w:rsid w:val="00113AAE"/>
    <w:rsid w:val="001200C7"/>
    <w:rsid w:val="00122DBE"/>
    <w:rsid w:val="00123FD6"/>
    <w:rsid w:val="001240D6"/>
    <w:rsid w:val="00126E1D"/>
    <w:rsid w:val="00137AAD"/>
    <w:rsid w:val="00147AC6"/>
    <w:rsid w:val="0016623F"/>
    <w:rsid w:val="001737F8"/>
    <w:rsid w:val="00174764"/>
    <w:rsid w:val="00181DD1"/>
    <w:rsid w:val="00187F54"/>
    <w:rsid w:val="001A50D5"/>
    <w:rsid w:val="001C7F67"/>
    <w:rsid w:val="001D2413"/>
    <w:rsid w:val="001D4551"/>
    <w:rsid w:val="001D6064"/>
    <w:rsid w:val="001E3353"/>
    <w:rsid w:val="001F103D"/>
    <w:rsid w:val="001F536F"/>
    <w:rsid w:val="001F643F"/>
    <w:rsid w:val="002027FF"/>
    <w:rsid w:val="00205DA1"/>
    <w:rsid w:val="00215F8C"/>
    <w:rsid w:val="0022001C"/>
    <w:rsid w:val="002334FC"/>
    <w:rsid w:val="0023509D"/>
    <w:rsid w:val="00240569"/>
    <w:rsid w:val="00251F7E"/>
    <w:rsid w:val="00254273"/>
    <w:rsid w:val="002564D9"/>
    <w:rsid w:val="00265E6C"/>
    <w:rsid w:val="00270E9A"/>
    <w:rsid w:val="002842C0"/>
    <w:rsid w:val="002A0527"/>
    <w:rsid w:val="002A6A4F"/>
    <w:rsid w:val="002B1386"/>
    <w:rsid w:val="002B1692"/>
    <w:rsid w:val="002B238B"/>
    <w:rsid w:val="002B2BDA"/>
    <w:rsid w:val="002B7614"/>
    <w:rsid w:val="002C09F2"/>
    <w:rsid w:val="002D06A3"/>
    <w:rsid w:val="002D7745"/>
    <w:rsid w:val="002F0641"/>
    <w:rsid w:val="002F0F29"/>
    <w:rsid w:val="002F11F4"/>
    <w:rsid w:val="002F29B9"/>
    <w:rsid w:val="0030203B"/>
    <w:rsid w:val="00302D2A"/>
    <w:rsid w:val="00303538"/>
    <w:rsid w:val="0030650E"/>
    <w:rsid w:val="00313D59"/>
    <w:rsid w:val="00314DB2"/>
    <w:rsid w:val="003166F4"/>
    <w:rsid w:val="00320ABE"/>
    <w:rsid w:val="00324C99"/>
    <w:rsid w:val="003420DF"/>
    <w:rsid w:val="003537C0"/>
    <w:rsid w:val="0035416F"/>
    <w:rsid w:val="0036120F"/>
    <w:rsid w:val="00370F61"/>
    <w:rsid w:val="00377939"/>
    <w:rsid w:val="00380E68"/>
    <w:rsid w:val="00380E81"/>
    <w:rsid w:val="003819D6"/>
    <w:rsid w:val="00384018"/>
    <w:rsid w:val="00392D9D"/>
    <w:rsid w:val="00393977"/>
    <w:rsid w:val="00394071"/>
    <w:rsid w:val="003942F9"/>
    <w:rsid w:val="003A75C0"/>
    <w:rsid w:val="003B2079"/>
    <w:rsid w:val="003B2E29"/>
    <w:rsid w:val="003B3D6B"/>
    <w:rsid w:val="003B75A8"/>
    <w:rsid w:val="003B7EA1"/>
    <w:rsid w:val="003C06BD"/>
    <w:rsid w:val="003C57E5"/>
    <w:rsid w:val="003C6A0F"/>
    <w:rsid w:val="003D0CD6"/>
    <w:rsid w:val="003D4E74"/>
    <w:rsid w:val="003D63F2"/>
    <w:rsid w:val="003F209A"/>
    <w:rsid w:val="003F44D0"/>
    <w:rsid w:val="003F6259"/>
    <w:rsid w:val="00403B99"/>
    <w:rsid w:val="00405B88"/>
    <w:rsid w:val="00412642"/>
    <w:rsid w:val="00414155"/>
    <w:rsid w:val="004150ED"/>
    <w:rsid w:val="00417AC2"/>
    <w:rsid w:val="004237AE"/>
    <w:rsid w:val="004436E4"/>
    <w:rsid w:val="00472D2D"/>
    <w:rsid w:val="00475E77"/>
    <w:rsid w:val="004773FD"/>
    <w:rsid w:val="004825A6"/>
    <w:rsid w:val="00497A9C"/>
    <w:rsid w:val="004A3501"/>
    <w:rsid w:val="004B2C2E"/>
    <w:rsid w:val="004B3309"/>
    <w:rsid w:val="004B4380"/>
    <w:rsid w:val="004C09FF"/>
    <w:rsid w:val="004C6F23"/>
    <w:rsid w:val="004E0B82"/>
    <w:rsid w:val="004E6015"/>
    <w:rsid w:val="004F0768"/>
    <w:rsid w:val="004F10FB"/>
    <w:rsid w:val="004F68FB"/>
    <w:rsid w:val="005050C5"/>
    <w:rsid w:val="00513AFE"/>
    <w:rsid w:val="00515F9B"/>
    <w:rsid w:val="00520794"/>
    <w:rsid w:val="00545E3B"/>
    <w:rsid w:val="00557721"/>
    <w:rsid w:val="00560482"/>
    <w:rsid w:val="00562FBB"/>
    <w:rsid w:val="0057052E"/>
    <w:rsid w:val="00573547"/>
    <w:rsid w:val="0057749F"/>
    <w:rsid w:val="00587C65"/>
    <w:rsid w:val="00587F44"/>
    <w:rsid w:val="005A2F89"/>
    <w:rsid w:val="005B03C0"/>
    <w:rsid w:val="005B2DC5"/>
    <w:rsid w:val="005C3131"/>
    <w:rsid w:val="005D09C8"/>
    <w:rsid w:val="005D24B4"/>
    <w:rsid w:val="005D6CDB"/>
    <w:rsid w:val="005D7DFB"/>
    <w:rsid w:val="00607C16"/>
    <w:rsid w:val="00615203"/>
    <w:rsid w:val="00617808"/>
    <w:rsid w:val="0063068C"/>
    <w:rsid w:val="006311FB"/>
    <w:rsid w:val="00634C4C"/>
    <w:rsid w:val="00635B4A"/>
    <w:rsid w:val="00642F97"/>
    <w:rsid w:val="0064597F"/>
    <w:rsid w:val="00652FCA"/>
    <w:rsid w:val="00657C01"/>
    <w:rsid w:val="00662F5E"/>
    <w:rsid w:val="00666C1B"/>
    <w:rsid w:val="006675EA"/>
    <w:rsid w:val="00673E72"/>
    <w:rsid w:val="00680BBE"/>
    <w:rsid w:val="00682BDC"/>
    <w:rsid w:val="00684452"/>
    <w:rsid w:val="00684727"/>
    <w:rsid w:val="006865B4"/>
    <w:rsid w:val="0068753F"/>
    <w:rsid w:val="0069494C"/>
    <w:rsid w:val="0069697B"/>
    <w:rsid w:val="006A5265"/>
    <w:rsid w:val="006B0479"/>
    <w:rsid w:val="006B12CD"/>
    <w:rsid w:val="006C6EB5"/>
    <w:rsid w:val="006C79A0"/>
    <w:rsid w:val="006D3F8F"/>
    <w:rsid w:val="006E7577"/>
    <w:rsid w:val="006F0304"/>
    <w:rsid w:val="006F3641"/>
    <w:rsid w:val="006F5327"/>
    <w:rsid w:val="0070626D"/>
    <w:rsid w:val="00714454"/>
    <w:rsid w:val="007163F3"/>
    <w:rsid w:val="007347A4"/>
    <w:rsid w:val="00742836"/>
    <w:rsid w:val="00761713"/>
    <w:rsid w:val="007619B0"/>
    <w:rsid w:val="00761EAD"/>
    <w:rsid w:val="00763C6E"/>
    <w:rsid w:val="00766B18"/>
    <w:rsid w:val="00775842"/>
    <w:rsid w:val="0077744D"/>
    <w:rsid w:val="00786D82"/>
    <w:rsid w:val="007878FB"/>
    <w:rsid w:val="007A5857"/>
    <w:rsid w:val="007A72AC"/>
    <w:rsid w:val="007A7691"/>
    <w:rsid w:val="007B53C3"/>
    <w:rsid w:val="007C5972"/>
    <w:rsid w:val="007C6319"/>
    <w:rsid w:val="007D22D8"/>
    <w:rsid w:val="007D26F4"/>
    <w:rsid w:val="007D6714"/>
    <w:rsid w:val="007E56CE"/>
    <w:rsid w:val="007E7577"/>
    <w:rsid w:val="007E7AC5"/>
    <w:rsid w:val="007F1908"/>
    <w:rsid w:val="008002A8"/>
    <w:rsid w:val="00810C10"/>
    <w:rsid w:val="0081237A"/>
    <w:rsid w:val="00813FCB"/>
    <w:rsid w:val="00814743"/>
    <w:rsid w:val="00817F52"/>
    <w:rsid w:val="008215CE"/>
    <w:rsid w:val="008222EB"/>
    <w:rsid w:val="00822B1F"/>
    <w:rsid w:val="008236FB"/>
    <w:rsid w:val="008238B2"/>
    <w:rsid w:val="00823CDA"/>
    <w:rsid w:val="00825BDE"/>
    <w:rsid w:val="00827F57"/>
    <w:rsid w:val="00852C3A"/>
    <w:rsid w:val="00857ED0"/>
    <w:rsid w:val="00861347"/>
    <w:rsid w:val="00862BB0"/>
    <w:rsid w:val="00865CB5"/>
    <w:rsid w:val="0087565C"/>
    <w:rsid w:val="00877AA1"/>
    <w:rsid w:val="00880543"/>
    <w:rsid w:val="00885412"/>
    <w:rsid w:val="00891207"/>
    <w:rsid w:val="00894E79"/>
    <w:rsid w:val="00896191"/>
    <w:rsid w:val="008963FE"/>
    <w:rsid w:val="008A25FF"/>
    <w:rsid w:val="008A62B1"/>
    <w:rsid w:val="008B15C4"/>
    <w:rsid w:val="008B26F0"/>
    <w:rsid w:val="008B71B2"/>
    <w:rsid w:val="008C0879"/>
    <w:rsid w:val="008C252D"/>
    <w:rsid w:val="008D4A2F"/>
    <w:rsid w:val="008D4C8E"/>
    <w:rsid w:val="008F166D"/>
    <w:rsid w:val="008F35FF"/>
    <w:rsid w:val="008F5E26"/>
    <w:rsid w:val="008F67CD"/>
    <w:rsid w:val="009014D8"/>
    <w:rsid w:val="0090164B"/>
    <w:rsid w:val="00904273"/>
    <w:rsid w:val="00904E33"/>
    <w:rsid w:val="009111DF"/>
    <w:rsid w:val="00912910"/>
    <w:rsid w:val="00913768"/>
    <w:rsid w:val="0091411C"/>
    <w:rsid w:val="009149A6"/>
    <w:rsid w:val="00914C6D"/>
    <w:rsid w:val="00914FFC"/>
    <w:rsid w:val="009310DC"/>
    <w:rsid w:val="00940432"/>
    <w:rsid w:val="00941790"/>
    <w:rsid w:val="00943389"/>
    <w:rsid w:val="00947C3D"/>
    <w:rsid w:val="009667E0"/>
    <w:rsid w:val="00976EDE"/>
    <w:rsid w:val="00977102"/>
    <w:rsid w:val="009862AA"/>
    <w:rsid w:val="009A39CC"/>
    <w:rsid w:val="009A4207"/>
    <w:rsid w:val="009C476C"/>
    <w:rsid w:val="009F2A0B"/>
    <w:rsid w:val="009F518F"/>
    <w:rsid w:val="009F5276"/>
    <w:rsid w:val="00A033F6"/>
    <w:rsid w:val="00A153FC"/>
    <w:rsid w:val="00A23A68"/>
    <w:rsid w:val="00A24648"/>
    <w:rsid w:val="00A259F0"/>
    <w:rsid w:val="00A2666C"/>
    <w:rsid w:val="00A300E6"/>
    <w:rsid w:val="00A33FF3"/>
    <w:rsid w:val="00A35DC2"/>
    <w:rsid w:val="00A44FA6"/>
    <w:rsid w:val="00A618FD"/>
    <w:rsid w:val="00A62EC5"/>
    <w:rsid w:val="00A63FBD"/>
    <w:rsid w:val="00A66AF1"/>
    <w:rsid w:val="00A74CE3"/>
    <w:rsid w:val="00A76D8B"/>
    <w:rsid w:val="00A76F47"/>
    <w:rsid w:val="00A81DF3"/>
    <w:rsid w:val="00A8652E"/>
    <w:rsid w:val="00A936C1"/>
    <w:rsid w:val="00A9531C"/>
    <w:rsid w:val="00AA0FAD"/>
    <w:rsid w:val="00AA42B7"/>
    <w:rsid w:val="00AA50C2"/>
    <w:rsid w:val="00AA6FBC"/>
    <w:rsid w:val="00AB0FE7"/>
    <w:rsid w:val="00AB3494"/>
    <w:rsid w:val="00AB691C"/>
    <w:rsid w:val="00AC0E16"/>
    <w:rsid w:val="00AC24F5"/>
    <w:rsid w:val="00AC4F80"/>
    <w:rsid w:val="00AC6F5C"/>
    <w:rsid w:val="00AD0287"/>
    <w:rsid w:val="00AD1E13"/>
    <w:rsid w:val="00AE454D"/>
    <w:rsid w:val="00AE711F"/>
    <w:rsid w:val="00AF1EAF"/>
    <w:rsid w:val="00AF7D20"/>
    <w:rsid w:val="00B10C67"/>
    <w:rsid w:val="00B10E1A"/>
    <w:rsid w:val="00B16FBD"/>
    <w:rsid w:val="00B20B87"/>
    <w:rsid w:val="00B26FF5"/>
    <w:rsid w:val="00B437DB"/>
    <w:rsid w:val="00B43D94"/>
    <w:rsid w:val="00B47FCD"/>
    <w:rsid w:val="00B63680"/>
    <w:rsid w:val="00B6452F"/>
    <w:rsid w:val="00B76FC8"/>
    <w:rsid w:val="00B87A60"/>
    <w:rsid w:val="00B928FF"/>
    <w:rsid w:val="00B93EC0"/>
    <w:rsid w:val="00B9452A"/>
    <w:rsid w:val="00BA3886"/>
    <w:rsid w:val="00BA55F6"/>
    <w:rsid w:val="00BA71D6"/>
    <w:rsid w:val="00BB73B0"/>
    <w:rsid w:val="00BD3945"/>
    <w:rsid w:val="00BD46A5"/>
    <w:rsid w:val="00BD79DB"/>
    <w:rsid w:val="00BE7E89"/>
    <w:rsid w:val="00BF6B7D"/>
    <w:rsid w:val="00C0756F"/>
    <w:rsid w:val="00C131EE"/>
    <w:rsid w:val="00C3176D"/>
    <w:rsid w:val="00C317FF"/>
    <w:rsid w:val="00C32855"/>
    <w:rsid w:val="00C41CD9"/>
    <w:rsid w:val="00C42B9C"/>
    <w:rsid w:val="00C546BA"/>
    <w:rsid w:val="00C565DE"/>
    <w:rsid w:val="00C57AAA"/>
    <w:rsid w:val="00C60B72"/>
    <w:rsid w:val="00C65768"/>
    <w:rsid w:val="00C71221"/>
    <w:rsid w:val="00C82280"/>
    <w:rsid w:val="00C84999"/>
    <w:rsid w:val="00C90745"/>
    <w:rsid w:val="00C9250D"/>
    <w:rsid w:val="00CA0AEA"/>
    <w:rsid w:val="00CB195C"/>
    <w:rsid w:val="00CB21E3"/>
    <w:rsid w:val="00CB2C14"/>
    <w:rsid w:val="00CB2E71"/>
    <w:rsid w:val="00CC1AD9"/>
    <w:rsid w:val="00CC5D96"/>
    <w:rsid w:val="00CD10B7"/>
    <w:rsid w:val="00CE1222"/>
    <w:rsid w:val="00CE142D"/>
    <w:rsid w:val="00CF3AB5"/>
    <w:rsid w:val="00D1094C"/>
    <w:rsid w:val="00D13E51"/>
    <w:rsid w:val="00D15423"/>
    <w:rsid w:val="00D16327"/>
    <w:rsid w:val="00D16C76"/>
    <w:rsid w:val="00D270D9"/>
    <w:rsid w:val="00D33CCE"/>
    <w:rsid w:val="00D508FC"/>
    <w:rsid w:val="00D719FB"/>
    <w:rsid w:val="00D73F42"/>
    <w:rsid w:val="00D9527B"/>
    <w:rsid w:val="00D95E65"/>
    <w:rsid w:val="00D961D4"/>
    <w:rsid w:val="00D9674D"/>
    <w:rsid w:val="00DB1B4D"/>
    <w:rsid w:val="00DB7A27"/>
    <w:rsid w:val="00DC3F9B"/>
    <w:rsid w:val="00DC487F"/>
    <w:rsid w:val="00DD0C54"/>
    <w:rsid w:val="00DD489D"/>
    <w:rsid w:val="00DD561E"/>
    <w:rsid w:val="00DE1D63"/>
    <w:rsid w:val="00DF4895"/>
    <w:rsid w:val="00E05641"/>
    <w:rsid w:val="00E066F7"/>
    <w:rsid w:val="00E0708C"/>
    <w:rsid w:val="00E25672"/>
    <w:rsid w:val="00E33026"/>
    <w:rsid w:val="00E36663"/>
    <w:rsid w:val="00E434B8"/>
    <w:rsid w:val="00E46054"/>
    <w:rsid w:val="00E52E40"/>
    <w:rsid w:val="00E5619C"/>
    <w:rsid w:val="00E6137A"/>
    <w:rsid w:val="00E80F5B"/>
    <w:rsid w:val="00E8293D"/>
    <w:rsid w:val="00E83DCD"/>
    <w:rsid w:val="00E85446"/>
    <w:rsid w:val="00E854F4"/>
    <w:rsid w:val="00E86831"/>
    <w:rsid w:val="00E90902"/>
    <w:rsid w:val="00E931C0"/>
    <w:rsid w:val="00EA3FCC"/>
    <w:rsid w:val="00EA4BB0"/>
    <w:rsid w:val="00EA4E64"/>
    <w:rsid w:val="00EA58CC"/>
    <w:rsid w:val="00EA756B"/>
    <w:rsid w:val="00EA7BDC"/>
    <w:rsid w:val="00EB4796"/>
    <w:rsid w:val="00EB4CBD"/>
    <w:rsid w:val="00EB6C01"/>
    <w:rsid w:val="00ED02F8"/>
    <w:rsid w:val="00ED0846"/>
    <w:rsid w:val="00EE1897"/>
    <w:rsid w:val="00EE4E06"/>
    <w:rsid w:val="00EE6F38"/>
    <w:rsid w:val="00EF3C46"/>
    <w:rsid w:val="00EF6A07"/>
    <w:rsid w:val="00F05A0C"/>
    <w:rsid w:val="00F130F8"/>
    <w:rsid w:val="00F203B9"/>
    <w:rsid w:val="00F3572E"/>
    <w:rsid w:val="00F50010"/>
    <w:rsid w:val="00F52E3E"/>
    <w:rsid w:val="00F5392D"/>
    <w:rsid w:val="00F53B6C"/>
    <w:rsid w:val="00F56F63"/>
    <w:rsid w:val="00F73458"/>
    <w:rsid w:val="00F80BCB"/>
    <w:rsid w:val="00F84AC8"/>
    <w:rsid w:val="00F85863"/>
    <w:rsid w:val="00F85908"/>
    <w:rsid w:val="00F93D10"/>
    <w:rsid w:val="00FA163A"/>
    <w:rsid w:val="00FA50D7"/>
    <w:rsid w:val="00FB0D13"/>
    <w:rsid w:val="00FB1ED1"/>
    <w:rsid w:val="00FB2631"/>
    <w:rsid w:val="00FB298B"/>
    <w:rsid w:val="00FB5CBB"/>
    <w:rsid w:val="00FC0E44"/>
    <w:rsid w:val="00FC1843"/>
    <w:rsid w:val="00FC4867"/>
    <w:rsid w:val="00FC5684"/>
    <w:rsid w:val="00FC7141"/>
    <w:rsid w:val="00FD4CD1"/>
    <w:rsid w:val="00FE382E"/>
    <w:rsid w:val="00FE7ADB"/>
    <w:rsid w:val="00FE7FCB"/>
    <w:rsid w:val="00FF3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5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432"/>
    <w:rPr>
      <w:color w:val="0000FF" w:themeColor="hyperlink"/>
      <w:u w:val="single"/>
    </w:rPr>
  </w:style>
  <w:style w:type="paragraph" w:styleId="ListParagraph">
    <w:name w:val="List Paragraph"/>
    <w:basedOn w:val="Normal"/>
    <w:uiPriority w:val="34"/>
    <w:qFormat/>
    <w:rsid w:val="00940432"/>
    <w:pPr>
      <w:ind w:left="720"/>
      <w:contextualSpacing/>
    </w:pPr>
  </w:style>
  <w:style w:type="paragraph" w:customStyle="1" w:styleId="h3fp">
    <w:name w:val="h3fp"/>
    <w:basedOn w:val="Normal"/>
    <w:rsid w:val="009404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658243">
      <w:bodyDiv w:val="1"/>
      <w:marLeft w:val="0"/>
      <w:marRight w:val="0"/>
      <w:marTop w:val="0"/>
      <w:marBottom w:val="0"/>
      <w:divBdr>
        <w:top w:val="none" w:sz="0" w:space="0" w:color="auto"/>
        <w:left w:val="none" w:sz="0" w:space="0" w:color="auto"/>
        <w:bottom w:val="none" w:sz="0" w:space="0" w:color="auto"/>
        <w:right w:val="none" w:sz="0" w:space="0" w:color="auto"/>
      </w:divBdr>
    </w:div>
    <w:div w:id="1947807592">
      <w:bodyDiv w:val="1"/>
      <w:marLeft w:val="0"/>
      <w:marRight w:val="0"/>
      <w:marTop w:val="0"/>
      <w:marBottom w:val="0"/>
      <w:divBdr>
        <w:top w:val="none" w:sz="0" w:space="0" w:color="auto"/>
        <w:left w:val="none" w:sz="0" w:space="0" w:color="auto"/>
        <w:bottom w:val="none" w:sz="0" w:space="0" w:color="auto"/>
        <w:right w:val="none" w:sz="0" w:space="0" w:color="auto"/>
      </w:divBdr>
      <w:divsChild>
        <w:div w:id="1440103828">
          <w:marLeft w:val="0"/>
          <w:marRight w:val="0"/>
          <w:marTop w:val="0"/>
          <w:marBottom w:val="0"/>
          <w:divBdr>
            <w:top w:val="none" w:sz="0" w:space="0" w:color="auto"/>
            <w:left w:val="none" w:sz="0" w:space="0" w:color="auto"/>
            <w:bottom w:val="none" w:sz="0" w:space="0" w:color="auto"/>
            <w:right w:val="none" w:sz="0" w:space="0" w:color="auto"/>
          </w:divBdr>
          <w:divsChild>
            <w:div w:id="160776802">
              <w:marLeft w:val="33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backtraining.org/assets/files/PDFS/Teach%20Back%20-%2010%20Elements%20of%20Competence.pdf" TargetMode="External"/><Relationship Id="rId13" Type="http://schemas.openxmlformats.org/officeDocument/2006/relationships/hyperlink" Target="http://nihseniorhealth.gov/toolkit/toolkit.html" TargetMode="External"/><Relationship Id="rId18" Type="http://schemas.openxmlformats.org/officeDocument/2006/relationships/hyperlink" Target="http://healthliteracy.worlded.org/" TargetMode="External"/><Relationship Id="rId26" Type="http://schemas.openxmlformats.org/officeDocument/2006/relationships/hyperlink" Target="http://www.cdc.gov/healthliteracy/writing-course/index.html" TargetMode="External"/><Relationship Id="rId39" Type="http://schemas.openxmlformats.org/officeDocument/2006/relationships/hyperlink" Target="http://www.healthliteracymonth.org/" TargetMode="External"/><Relationship Id="rId3" Type="http://schemas.openxmlformats.org/officeDocument/2006/relationships/settings" Target="settings.xml"/><Relationship Id="rId21" Type="http://schemas.openxmlformats.org/officeDocument/2006/relationships/hyperlink" Target="http://nnlm.gov/outreach/community/guides/index.html" TargetMode="External"/><Relationship Id="rId34" Type="http://schemas.openxmlformats.org/officeDocument/2006/relationships/hyperlink" Target="http://www.healthliteracy.com/presentations.asp" TargetMode="External"/><Relationship Id="rId42" Type="http://schemas.openxmlformats.org/officeDocument/2006/relationships/hyperlink" Target="http://highlights.healthliteracyoutloud.com" TargetMode="External"/><Relationship Id="rId7" Type="http://schemas.openxmlformats.org/officeDocument/2006/relationships/hyperlink" Target="http://www.nlm.nih.gov/medlineplus/healthywebsurfing.html" TargetMode="External"/><Relationship Id="rId12" Type="http://schemas.openxmlformats.org/officeDocument/2006/relationships/hyperlink" Target="http://go4life.nia.nih.gov/" TargetMode="External"/><Relationship Id="rId17" Type="http://schemas.openxmlformats.org/officeDocument/2006/relationships/hyperlink" Target="http://nihseniorhealth.gov/talkingwithyourdoctor/faq/video/dr2_na.html?intro=yes" TargetMode="External"/><Relationship Id="rId25" Type="http://schemas.openxmlformats.org/officeDocument/2006/relationships/hyperlink" Target="http://www.cdc.gov/healthliteracy/gettrainingce.html" TargetMode="External"/><Relationship Id="rId33" Type="http://schemas.openxmlformats.org/officeDocument/2006/relationships/hyperlink" Target="http://www.cdc.gov/healthliteracy/pdf/gqgh-presentation.pdf" TargetMode="External"/><Relationship Id="rId38" Type="http://schemas.openxmlformats.org/officeDocument/2006/relationships/hyperlink" Target="http://www.healthliteracy.com/books.asp" TargetMode="External"/><Relationship Id="rId2" Type="http://schemas.openxmlformats.org/officeDocument/2006/relationships/styles" Target="styles.xml"/><Relationship Id="rId16" Type="http://schemas.openxmlformats.org/officeDocument/2006/relationships/hyperlink" Target="http://www.nia.nih.gov/health/publication/brain-health-resource#handouts" TargetMode="External"/><Relationship Id="rId20" Type="http://schemas.openxmlformats.org/officeDocument/2006/relationships/hyperlink" Target="http://nnlm.gov/outreach/consumer/" TargetMode="External"/><Relationship Id="rId29" Type="http://schemas.openxmlformats.org/officeDocument/2006/relationships/hyperlink" Target="http://www.cdc.gov/healthliteracy/speaking-course/index.html" TargetMode="External"/><Relationship Id="rId41" Type="http://schemas.openxmlformats.org/officeDocument/2006/relationships/hyperlink" Target="http://healthliteracy.com/transcripts.asp" TargetMode="External"/><Relationship Id="rId1" Type="http://schemas.openxmlformats.org/officeDocument/2006/relationships/numbering" Target="numbering.xml"/><Relationship Id="rId6" Type="http://schemas.openxmlformats.org/officeDocument/2006/relationships/hyperlink" Target="http://communicatehealth.com/wp-content/uploads/2012/05/HealthLitInfographic-11x171.pdf" TargetMode="External"/><Relationship Id="rId11" Type="http://schemas.openxmlformats.org/officeDocument/2006/relationships/hyperlink" Target="http://www.nlm.nih.gov/medlineplus/" TargetMode="External"/><Relationship Id="rId24" Type="http://schemas.openxmlformats.org/officeDocument/2006/relationships/hyperlink" Target="http://www.teachbacktraining.org/assets/files/PDFS/Teach%20Back%20-%2010%20Elements%20of%20Competence.pdf" TargetMode="External"/><Relationship Id="rId32" Type="http://schemas.openxmlformats.org/officeDocument/2006/relationships/hyperlink" Target="http://www.cdc.gov/healthliteracy/pdf/gqgh-toolkit.pdf" TargetMode="External"/><Relationship Id="rId37" Type="http://schemas.openxmlformats.org/officeDocument/2006/relationships/hyperlink" Target="http://www.healthliteracy.com/articles.asp" TargetMode="External"/><Relationship Id="rId40" Type="http://schemas.openxmlformats.org/officeDocument/2006/relationships/hyperlink" Target="http://healthliteracyoutloud.com/" TargetMode="External"/><Relationship Id="rId45" Type="http://schemas.openxmlformats.org/officeDocument/2006/relationships/theme" Target="theme/theme1.xml"/><Relationship Id="rId5" Type="http://schemas.openxmlformats.org/officeDocument/2006/relationships/hyperlink" Target="http://minorityhealth.hhs.gov/npa/files/Plans/Toolkit/NPA_Toolkit.pdf" TargetMode="External"/><Relationship Id="rId15" Type="http://schemas.openxmlformats.org/officeDocument/2006/relationships/hyperlink" Target="http://www.health.gov/healthliteracyonline/" TargetMode="External"/><Relationship Id="rId23" Type="http://schemas.openxmlformats.org/officeDocument/2006/relationships/hyperlink" Target="http://www.teachbacktraining.org/" TargetMode="External"/><Relationship Id="rId28" Type="http://schemas.openxmlformats.org/officeDocument/2006/relationships/hyperlink" Target="http://www.cdc.gov/healthliteracy/document-course/index.html" TargetMode="External"/><Relationship Id="rId36" Type="http://schemas.openxmlformats.org/officeDocument/2006/relationships/hyperlink" Target="http://www.healthliteracy.com/tips.asp" TargetMode="External"/><Relationship Id="rId10" Type="http://schemas.openxmlformats.org/officeDocument/2006/relationships/hyperlink" Target="http://nihseniorhealth.gov/" TargetMode="External"/><Relationship Id="rId19" Type="http://schemas.openxmlformats.org/officeDocument/2006/relationships/hyperlink" Target="http://www.worlded.org/WEIInternet/us/initiatives.cfm" TargetMode="External"/><Relationship Id="rId31" Type="http://schemas.openxmlformats.org/officeDocument/2006/relationships/hyperlink" Target="http://www.cdc.gov/healthliteracy/pdf/gqgh-presentation.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ihseniorhealth.gov/toolkit/toolkitfiles/pdf/FAQs.pdf" TargetMode="External"/><Relationship Id="rId14" Type="http://schemas.openxmlformats.org/officeDocument/2006/relationships/hyperlink" Target="http://www.nia.nih.gov/health/publication/talking-your-doctor-presentation-toolkit?utm_source=health-aging&amp;utm_medium=website&amp;utm_content=TWYDPT&amp;utm_campaign=HA_Featured" TargetMode="External"/><Relationship Id="rId22" Type="http://schemas.openxmlformats.org/officeDocument/2006/relationships/hyperlink" Target="http://www.mlanet.org/education/chc" TargetMode="External"/><Relationship Id="rId27" Type="http://schemas.openxmlformats.org/officeDocument/2006/relationships/hyperlink" Target="http://www.cdc.gov/healthliteracy/numeracy-course/index.html" TargetMode="External"/><Relationship Id="rId30" Type="http://schemas.openxmlformats.org/officeDocument/2006/relationships/hyperlink" Target="http://www.cdc.gov/healthliteracy/pdf/gqgh-toolkit.pdf" TargetMode="External"/><Relationship Id="rId35" Type="http://schemas.openxmlformats.org/officeDocument/2006/relationships/hyperlink" Target="http://www.healthliteracy.com/writing.asp" TargetMode="External"/><Relationship Id="rId43" Type="http://schemas.openxmlformats.org/officeDocument/2006/relationships/hyperlink" Target="http://www.healthliter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Copley Hospital</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swein</dc:creator>
  <cp:keywords/>
  <dc:description/>
  <cp:lastModifiedBy>swein</cp:lastModifiedBy>
  <cp:revision>1</cp:revision>
  <cp:lastPrinted>2015-05-15T17:20:00Z</cp:lastPrinted>
  <dcterms:created xsi:type="dcterms:W3CDTF">2015-05-15T17:07:00Z</dcterms:created>
  <dcterms:modified xsi:type="dcterms:W3CDTF">2015-05-15T19:04:00Z</dcterms:modified>
</cp:coreProperties>
</file>